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4166" w14:textId="03665408" w:rsidR="00804657" w:rsidRPr="00B33151" w:rsidRDefault="00804657" w:rsidP="0080465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 14615 </w:t>
      </w:r>
      <w:r w:rsidR="00D03152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Part 4</w:t>
      </w:r>
      <w:r w:rsidR="00D03152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:</w:t>
      </w:r>
      <w:r w:rsidR="00D03152">
        <w:rPr>
          <w:rFonts w:ascii="Arial" w:hAnsi="Arial" w:cs="Arial"/>
          <w:b/>
          <w:sz w:val="24"/>
          <w:szCs w:val="24"/>
        </w:rPr>
        <w:t xml:space="preserve"> 2024</w:t>
      </w:r>
    </w:p>
    <w:p w14:paraId="1CA7DE8B" w14:textId="131793C6" w:rsidR="00804657" w:rsidRDefault="00804657" w:rsidP="0080465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ISO </w:t>
      </w:r>
      <w:r w:rsidR="001B1923">
        <w:rPr>
          <w:rFonts w:ascii="Arial" w:hAnsi="Arial" w:cs="Arial"/>
          <w:b/>
          <w:sz w:val="24"/>
          <w:szCs w:val="24"/>
        </w:rPr>
        <w:t>5167-4 : 2</w:t>
      </w:r>
      <w:r w:rsidR="00976D57">
        <w:rPr>
          <w:rFonts w:ascii="Arial" w:hAnsi="Arial" w:cs="Arial"/>
          <w:b/>
          <w:sz w:val="24"/>
          <w:szCs w:val="24"/>
        </w:rPr>
        <w:t>022</w:t>
      </w:r>
    </w:p>
    <w:p w14:paraId="6F1130F7" w14:textId="77777777" w:rsidR="00804657" w:rsidRDefault="00804657" w:rsidP="00804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9075F6" w14:textId="77777777" w:rsidR="00804657" w:rsidRPr="00E27ECE" w:rsidRDefault="00804657" w:rsidP="00804657">
      <w:pPr>
        <w:spacing w:after="0" w:line="240" w:lineRule="auto"/>
        <w:rPr>
          <w:rFonts w:ascii="Kokila" w:eastAsia="Arial Unicode MS" w:hAnsi="Kokila" w:cs="Arial Unicode MS"/>
          <w:b/>
          <w:i/>
          <w:iCs/>
          <w:sz w:val="32"/>
          <w:szCs w:val="32"/>
        </w:rPr>
      </w:pPr>
      <w:r>
        <w:rPr>
          <w:rFonts w:ascii="Nirmala UI" w:hAnsi="Nirmala UI" w:cs="Nirmala UI"/>
          <w:b/>
          <w:bCs/>
          <w:i/>
          <w:iCs/>
          <w:sz w:val="44"/>
          <w:szCs w:val="44"/>
          <w:lang w:bidi="hi-IN"/>
        </w:rPr>
        <w:t xml:space="preserve">                          </w:t>
      </w:r>
      <w:r w:rsidRPr="00E27ECE">
        <w:rPr>
          <w:rFonts w:ascii="Nirmala UI" w:hAnsi="Nirmala UI" w:cs="Nirmala UI"/>
          <w:b/>
          <w:bCs/>
          <w:i/>
          <w:iCs/>
          <w:sz w:val="44"/>
          <w:szCs w:val="44"/>
          <w:cs/>
          <w:lang w:bidi="hi-IN"/>
        </w:rPr>
        <w:t>भारतीय</w:t>
      </w:r>
      <w:r w:rsidRPr="00E27ECE">
        <w:rPr>
          <w:rFonts w:ascii="Kokila" w:hAnsi="Kokila" w:cs="Kokila"/>
          <w:b/>
          <w:bCs/>
          <w:i/>
          <w:iCs/>
          <w:sz w:val="44"/>
          <w:szCs w:val="44"/>
          <w:lang w:bidi="hi-IN"/>
        </w:rPr>
        <w:t xml:space="preserve"> </w:t>
      </w:r>
      <w:r w:rsidRPr="00E27ECE">
        <w:rPr>
          <w:rFonts w:ascii="Nirmala UI" w:hAnsi="Nirmala UI" w:cs="Nirmala UI"/>
          <w:b/>
          <w:bCs/>
          <w:i/>
          <w:iCs/>
          <w:sz w:val="44"/>
          <w:szCs w:val="44"/>
          <w:cs/>
          <w:lang w:bidi="hi-IN"/>
        </w:rPr>
        <w:t>मानक</w:t>
      </w:r>
      <w:r w:rsidRPr="00E27ECE">
        <w:rPr>
          <w:rFonts w:ascii="Kokila" w:eastAsia="Arial Unicode MS" w:hAnsi="Kokila" w:cs="Arial Unicode MS"/>
          <w:b/>
          <w:i/>
          <w:iCs/>
          <w:sz w:val="32"/>
          <w:szCs w:val="32"/>
          <w:rtl/>
          <w:cs/>
        </w:rPr>
        <w:t xml:space="preserve">                                  </w:t>
      </w:r>
      <w:r w:rsidRPr="00E27ECE">
        <w:rPr>
          <w:rFonts w:ascii="Kokila" w:eastAsia="Arial Unicode MS" w:hAnsi="Kokila" w:cs="Arial"/>
          <w:b/>
          <w:i/>
          <w:iCs/>
          <w:sz w:val="32"/>
          <w:szCs w:val="32"/>
          <w:rtl/>
          <w:cs/>
        </w:rPr>
        <w:t xml:space="preserve"> </w:t>
      </w:r>
    </w:p>
    <w:p w14:paraId="1E0A0628" w14:textId="77777777" w:rsidR="00804657" w:rsidRPr="008819DC" w:rsidRDefault="00804657" w:rsidP="00804657">
      <w:pPr>
        <w:spacing w:after="0" w:line="240" w:lineRule="auto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                                   </w:t>
      </w:r>
      <w:r w:rsidRPr="008819DC">
        <w:rPr>
          <w:rFonts w:ascii="Arial" w:hAnsi="Arial" w:cs="Arial"/>
          <w:b/>
          <w:i/>
          <w:sz w:val="32"/>
          <w:szCs w:val="32"/>
        </w:rPr>
        <w:t>Indian Standard</w:t>
      </w:r>
      <w:r w:rsidRPr="008819DC">
        <w:rPr>
          <w:rFonts w:ascii="Arial Unicode MS" w:eastAsia="Arial Unicode MS" w:hAnsi="Arial Unicode MS" w:cs="Arial Unicode MS" w:hint="cs"/>
          <w:b/>
          <w:i/>
          <w:iCs/>
          <w:sz w:val="32"/>
          <w:szCs w:val="32"/>
          <w:rtl/>
          <w:cs/>
        </w:rPr>
        <w:t xml:space="preserve">                                       </w:t>
      </w:r>
    </w:p>
    <w:tbl>
      <w:tblPr>
        <w:tblStyle w:val="TableGrid"/>
        <w:tblW w:w="6706" w:type="dxa"/>
        <w:tblInd w:w="3180" w:type="dxa"/>
        <w:tblLook w:val="04A0" w:firstRow="1" w:lastRow="0" w:firstColumn="1" w:lastColumn="0" w:noHBand="0" w:noVBand="1"/>
      </w:tblPr>
      <w:tblGrid>
        <w:gridCol w:w="6706"/>
      </w:tblGrid>
      <w:tr w:rsidR="00804657" w14:paraId="30288C07" w14:textId="77777777" w:rsidTr="00B40E1A">
        <w:trPr>
          <w:trHeight w:val="56"/>
        </w:trPr>
        <w:tc>
          <w:tcPr>
            <w:tcW w:w="6706" w:type="dxa"/>
            <w:tcBorders>
              <w:top w:val="thinThickThinLargeGap" w:sz="8" w:space="0" w:color="auto"/>
              <w:left w:val="nil"/>
              <w:bottom w:val="nil"/>
              <w:right w:val="nil"/>
            </w:tcBorders>
          </w:tcPr>
          <w:p w14:paraId="019AF152" w14:textId="77777777" w:rsidR="00804657" w:rsidRPr="008819DC" w:rsidRDefault="00804657" w:rsidP="00B40E1A">
            <w:pPr>
              <w:contextualSpacing/>
              <w:rPr>
                <w:rFonts w:ascii="Arial Narrow" w:hAnsi="Arial Narrow"/>
                <w:iCs/>
                <w:sz w:val="44"/>
                <w:szCs w:val="44"/>
              </w:rPr>
            </w:pPr>
          </w:p>
        </w:tc>
      </w:tr>
    </w:tbl>
    <w:p w14:paraId="1E90B157" w14:textId="77777777" w:rsidR="00804657" w:rsidRDefault="00804657" w:rsidP="00804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E850FF" w14:textId="77777777" w:rsidR="00232BFF" w:rsidRDefault="00804657" w:rsidP="00232BFF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  <w:r>
        <w:rPr>
          <w:rFonts w:ascii="Nirmala UI" w:hAnsi="Nirmala UI" w:cs="Nirmala UI"/>
          <w:b/>
          <w:sz w:val="32"/>
          <w:szCs w:val="32"/>
        </w:rPr>
        <w:t xml:space="preserve">   </w:t>
      </w:r>
      <w:r w:rsidR="00ED462C">
        <w:rPr>
          <w:rFonts w:ascii="Nirmala UI" w:hAnsi="Nirmala UI" w:cs="Nirmala UI"/>
          <w:b/>
          <w:sz w:val="32"/>
          <w:szCs w:val="32"/>
        </w:rPr>
        <w:t xml:space="preserve">                                </w:t>
      </w:r>
      <w:r w:rsidR="00ED462C" w:rsidRPr="00ED462C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पूर्ण</w:t>
      </w:r>
      <w:r w:rsidR="00ED462C" w:rsidRPr="00ED462C">
        <w:rPr>
          <w:rFonts w:ascii="Nirmala UI" w:hAnsi="Nirmala UI" w:cs="Nirmala UI"/>
          <w:b/>
          <w:sz w:val="32"/>
          <w:szCs w:val="32"/>
        </w:rPr>
        <w:t xml:space="preserve"> </w:t>
      </w:r>
      <w:r w:rsidR="00ED462C" w:rsidRPr="00ED462C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भरे</w:t>
      </w:r>
      <w:r w:rsidR="00ED462C" w:rsidRPr="00ED462C">
        <w:rPr>
          <w:rFonts w:ascii="Nirmala UI" w:hAnsi="Nirmala UI" w:cs="Nirmala UI"/>
          <w:b/>
          <w:sz w:val="32"/>
          <w:szCs w:val="32"/>
        </w:rPr>
        <w:t xml:space="preserve"> </w:t>
      </w:r>
      <w:r w:rsidR="00ED462C" w:rsidRPr="00ED462C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बहाव</w:t>
      </w:r>
      <w:r w:rsidR="00ED462C" w:rsidRPr="00ED462C">
        <w:rPr>
          <w:rFonts w:ascii="Nirmala UI" w:hAnsi="Nirmala UI" w:cs="Nirmala UI"/>
          <w:b/>
          <w:sz w:val="32"/>
          <w:szCs w:val="32"/>
        </w:rPr>
        <w:t xml:space="preserve"> </w:t>
      </w:r>
      <w:r w:rsidR="00232BFF" w:rsidRPr="00232BFF">
        <w:rPr>
          <w:rFonts w:ascii="Nirmala UI" w:hAnsi="Nirmala UI" w:cs="Nirmala UI"/>
          <w:b/>
          <w:sz w:val="32"/>
          <w:szCs w:val="32"/>
        </w:rPr>
        <w:t xml:space="preserve">वाली वृत्ताकार अनुप्रस्थ काट की वाहिकाओं में विभेदक दबाव उपकरणों </w:t>
      </w:r>
    </w:p>
    <w:p w14:paraId="2843A7D8" w14:textId="1C782559" w:rsidR="00804657" w:rsidRDefault="00232BFF" w:rsidP="00232BFF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  <w:r w:rsidRPr="00232BFF">
        <w:rPr>
          <w:rFonts w:ascii="Nirmala UI" w:hAnsi="Nirmala UI" w:cs="Nirmala UI"/>
          <w:b/>
          <w:sz w:val="32"/>
          <w:szCs w:val="32"/>
        </w:rPr>
        <w:t>के माध्यम से द्रव प्रवाह मापन</w:t>
      </w:r>
    </w:p>
    <w:p w14:paraId="468ACF9A" w14:textId="77777777" w:rsidR="00AC1594" w:rsidRDefault="00AC1594" w:rsidP="00ED462C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</w:p>
    <w:p w14:paraId="564B2162" w14:textId="155E8588" w:rsidR="00AC1594" w:rsidRDefault="00AC1594" w:rsidP="00ED462C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  <w:r w:rsidRPr="00AC1594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भाग</w:t>
      </w:r>
      <w:r w:rsidRPr="00AC1594">
        <w:rPr>
          <w:rFonts w:ascii="Nirmala UI" w:hAnsi="Nirmala UI" w:cs="Nirmala UI"/>
          <w:b/>
          <w:sz w:val="32"/>
          <w:szCs w:val="32"/>
        </w:rPr>
        <w:t xml:space="preserve"> </w:t>
      </w:r>
      <w:r>
        <w:rPr>
          <w:rFonts w:ascii="Nirmala UI" w:hAnsi="Nirmala UI" w:cs="Nirmala UI" w:hint="cs"/>
          <w:b/>
          <w:sz w:val="32"/>
          <w:szCs w:val="32"/>
        </w:rPr>
        <w:t>4</w:t>
      </w:r>
      <w:r w:rsidRPr="00AC1594">
        <w:rPr>
          <w:rFonts w:ascii="Nirmala UI" w:hAnsi="Nirmala UI" w:cs="Nirmala UI"/>
          <w:b/>
          <w:sz w:val="32"/>
          <w:szCs w:val="32"/>
        </w:rPr>
        <w:t xml:space="preserve"> </w:t>
      </w:r>
      <w:r w:rsidRPr="00AC1594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वेन्चुरी</w:t>
      </w:r>
      <w:r w:rsidR="00232BFF">
        <w:rPr>
          <w:rFonts w:ascii="Nirmala UI" w:hAnsi="Nirmala UI" w:cs="Nirmala UI"/>
          <w:b/>
          <w:sz w:val="32"/>
          <w:szCs w:val="32"/>
        </w:rPr>
        <w:t xml:space="preserve"> </w:t>
      </w:r>
      <w:r w:rsidR="00232BFF" w:rsidRPr="00232BFF">
        <w:rPr>
          <w:rFonts w:ascii="Nirmala UI" w:hAnsi="Nirmala UI" w:cs="Nirmala UI"/>
          <w:b/>
          <w:sz w:val="32"/>
          <w:szCs w:val="32"/>
        </w:rPr>
        <w:t>नलिकाएं</w:t>
      </w:r>
    </w:p>
    <w:p w14:paraId="1B4C8FA9" w14:textId="77777777" w:rsidR="00804657" w:rsidRDefault="00804657" w:rsidP="00804657">
      <w:pPr>
        <w:spacing w:after="0" w:line="240" w:lineRule="auto"/>
        <w:jc w:val="center"/>
        <w:rPr>
          <w:rFonts w:ascii="Nirmala UI" w:hAnsi="Nirmala UI" w:cs="Nirmala UI"/>
          <w:b/>
          <w:sz w:val="32"/>
          <w:szCs w:val="32"/>
        </w:rPr>
      </w:pPr>
    </w:p>
    <w:p w14:paraId="632FFED0" w14:textId="77777777" w:rsidR="00AC1594" w:rsidRPr="004B1732" w:rsidRDefault="00804657" w:rsidP="00AC1594">
      <w:pPr>
        <w:spacing w:after="0" w:line="240" w:lineRule="auto"/>
        <w:contextualSpacing/>
        <w:jc w:val="center"/>
        <w:rPr>
          <w:rFonts w:ascii="Arial" w:eastAsia="Arial Unicode MS" w:hAnsi="Arial" w:cs="Arial"/>
          <w:b/>
          <w:iCs/>
          <w:sz w:val="32"/>
          <w:szCs w:val="32"/>
        </w:rPr>
      </w:pPr>
      <w:r w:rsidRPr="00E23D82">
        <w:rPr>
          <w:rFonts w:ascii="Arial Unicode MS" w:eastAsia="Arial Unicode MS" w:hAnsi="Arial Unicode MS" w:cs="Arial Unicode MS"/>
          <w:b/>
          <w:i/>
          <w:iCs/>
          <w:sz w:val="36"/>
          <w:szCs w:val="36"/>
        </w:rPr>
        <w:t xml:space="preserve">                        </w:t>
      </w:r>
      <w:r w:rsidRPr="004B1732">
        <w:rPr>
          <w:rFonts w:ascii="Arial Unicode MS" w:eastAsia="Arial Unicode MS" w:hAnsi="Arial Unicode MS" w:cs="Arial Unicode MS"/>
          <w:bCs/>
          <w:i/>
          <w:iCs/>
          <w:sz w:val="36"/>
          <w:szCs w:val="36"/>
        </w:rPr>
        <w:t xml:space="preserve"> </w:t>
      </w:r>
      <w:r w:rsidRPr="004B1732">
        <w:rPr>
          <w:rFonts w:ascii="Arial Unicode MS" w:eastAsia="Arial Unicode MS" w:hAnsi="Arial Unicode MS" w:cs="Arial Unicode MS"/>
          <w:bCs/>
          <w:iCs/>
          <w:sz w:val="32"/>
          <w:szCs w:val="32"/>
          <w:lang w:bidi="hi-IN"/>
        </w:rPr>
        <w:t>(</w:t>
      </w:r>
      <w:r w:rsidR="00ED462C" w:rsidRPr="00336981">
        <w:rPr>
          <w:rFonts w:ascii="Arial Unicode MS" w:eastAsia="Arial Unicode MS" w:hAnsi="Arial Unicode MS" w:cs="Arial Unicode MS"/>
          <w:b/>
          <w:iCs/>
          <w:sz w:val="32"/>
          <w:szCs w:val="32"/>
          <w:cs/>
          <w:lang w:bidi="hi-IN"/>
        </w:rPr>
        <w:t>पहला</w:t>
      </w:r>
      <w:r w:rsidR="00ED462C" w:rsidRPr="00336981">
        <w:rPr>
          <w:rFonts w:ascii="Arial Unicode MS" w:eastAsia="Arial Unicode MS" w:hAnsi="Arial Unicode MS" w:cs="Arial Unicode MS"/>
          <w:b/>
          <w:iCs/>
          <w:sz w:val="32"/>
          <w:szCs w:val="32"/>
          <w:lang w:bidi="hi-IN"/>
        </w:rPr>
        <w:t xml:space="preserve"> </w:t>
      </w:r>
      <w:r w:rsidRPr="004B1732">
        <w:rPr>
          <w:rFonts w:ascii="Arial Unicode MS" w:eastAsia="Arial Unicode MS" w:hAnsi="Arial Unicode MS" w:cs="Arial Unicode MS" w:hint="cs"/>
          <w:b/>
          <w:iCs/>
          <w:sz w:val="32"/>
          <w:szCs w:val="32"/>
          <w:cs/>
          <w:lang w:bidi="hi-IN"/>
        </w:rPr>
        <w:t>पुनरीक्षण</w:t>
      </w:r>
      <w:r w:rsidRPr="004B1732">
        <w:rPr>
          <w:rFonts w:ascii="Arial Unicode MS" w:eastAsia="Arial Unicode MS" w:hAnsi="Arial Unicode MS" w:cs="Arial Unicode MS"/>
          <w:bCs/>
          <w:iCs/>
          <w:sz w:val="32"/>
          <w:szCs w:val="32"/>
          <w:lang w:bidi="hi-IN"/>
        </w:rPr>
        <w:t>)</w:t>
      </w:r>
    </w:p>
    <w:p w14:paraId="434F6926" w14:textId="77777777" w:rsidR="00AC1594" w:rsidRPr="00AC1594" w:rsidRDefault="00AC1594" w:rsidP="004F768B">
      <w:pPr>
        <w:spacing w:after="0" w:line="240" w:lineRule="auto"/>
        <w:contextualSpacing/>
        <w:jc w:val="right"/>
        <w:rPr>
          <w:rFonts w:ascii="Arial" w:eastAsia="Arial Unicode MS" w:hAnsi="Arial" w:cs="Arial"/>
          <w:iCs/>
          <w:sz w:val="36"/>
          <w:szCs w:val="36"/>
        </w:rPr>
      </w:pPr>
    </w:p>
    <w:p w14:paraId="01CD0258" w14:textId="6ACADF77" w:rsidR="00AC1594" w:rsidRPr="004F768B" w:rsidRDefault="00AC1594" w:rsidP="004F768B">
      <w:pPr>
        <w:spacing w:after="0" w:line="240" w:lineRule="auto"/>
        <w:contextualSpacing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 w:rsidRPr="004F768B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                                    Measurement of Fluid Flow by Means of </w:t>
      </w:r>
      <w:r w:rsidR="004F768B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 </w:t>
      </w:r>
      <w:r w:rsidRPr="004F768B">
        <w:rPr>
          <w:rFonts w:ascii="Arial" w:eastAsia="Arial Unicode MS" w:hAnsi="Arial" w:cs="Arial"/>
          <w:b/>
          <w:bCs/>
          <w:iCs/>
          <w:sz w:val="28"/>
          <w:szCs w:val="28"/>
        </w:rPr>
        <w:t>Pressure</w:t>
      </w:r>
      <w:r w:rsidR="004F768B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Pr="004F768B">
        <w:rPr>
          <w:rFonts w:ascii="Arial" w:eastAsia="Arial Unicode MS" w:hAnsi="Arial" w:cs="Arial"/>
          <w:b/>
          <w:bCs/>
          <w:iCs/>
          <w:sz w:val="28"/>
          <w:szCs w:val="28"/>
        </w:rPr>
        <w:t>Differential Devices Inserted In Circular</w:t>
      </w:r>
    </w:p>
    <w:p w14:paraId="30DF8D1D" w14:textId="77777777" w:rsidR="00804657" w:rsidRPr="004F768B" w:rsidRDefault="00AC1594" w:rsidP="004F768B">
      <w:pPr>
        <w:spacing w:after="0" w:line="240" w:lineRule="auto"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 w:rsidRPr="004F768B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                              Cross Section Conduits Running Full</w:t>
      </w:r>
    </w:p>
    <w:p w14:paraId="0B354C49" w14:textId="77777777" w:rsidR="00AC1594" w:rsidRDefault="00AC1594" w:rsidP="00AC1594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16BC4039" w14:textId="77777777" w:rsidR="00AC1594" w:rsidRPr="00AC1594" w:rsidRDefault="00AC1594" w:rsidP="00AC1594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AC1594">
        <w:rPr>
          <w:rFonts w:ascii="Arial" w:hAnsi="Arial" w:cs="Arial"/>
          <w:sz w:val="28"/>
          <w:szCs w:val="28"/>
        </w:rPr>
        <w:t>Part 4 Venturi Tubes</w:t>
      </w:r>
    </w:p>
    <w:p w14:paraId="4EF88AEC" w14:textId="77777777" w:rsidR="00804657" w:rsidRDefault="00804657" w:rsidP="00804657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2FF64CC3" w14:textId="77777777" w:rsidR="00804657" w:rsidRPr="00E23D82" w:rsidRDefault="00804657" w:rsidP="00804657">
      <w:pPr>
        <w:spacing w:after="0" w:line="240" w:lineRule="auto"/>
        <w:jc w:val="center"/>
        <w:rPr>
          <w:rFonts w:ascii="Arial" w:eastAsia="Arial Unicode MS" w:hAnsi="Arial" w:cs="Arial"/>
          <w:bCs/>
          <w:iCs/>
          <w:sz w:val="28"/>
          <w:szCs w:val="28"/>
        </w:rPr>
      </w:pPr>
      <w:r w:rsidRPr="00F51E01">
        <w:rPr>
          <w:rFonts w:ascii="Arial" w:eastAsia="Arial Unicode MS" w:hAnsi="Arial" w:cs="Arial"/>
          <w:b/>
          <w:i/>
          <w:iCs/>
          <w:sz w:val="28"/>
          <w:szCs w:val="28"/>
        </w:rPr>
        <w:t xml:space="preserve">   </w:t>
      </w:r>
      <w:r w:rsidR="00ED462C">
        <w:rPr>
          <w:rFonts w:ascii="Arial" w:eastAsia="Arial Unicode MS" w:hAnsi="Arial" w:cs="Arial"/>
          <w:b/>
          <w:i/>
          <w:iCs/>
          <w:sz w:val="28"/>
          <w:szCs w:val="28"/>
        </w:rPr>
        <w:t xml:space="preserve">                </w:t>
      </w:r>
      <w:r w:rsidR="00ED462C" w:rsidRPr="00E23D82">
        <w:rPr>
          <w:rFonts w:ascii="Arial" w:eastAsia="Arial Unicode MS" w:hAnsi="Arial" w:cs="Arial"/>
          <w:bCs/>
          <w:i/>
          <w:iCs/>
          <w:sz w:val="28"/>
          <w:szCs w:val="28"/>
        </w:rPr>
        <w:t xml:space="preserve">         (First</w:t>
      </w:r>
      <w:r w:rsidRPr="00E23D82">
        <w:rPr>
          <w:rFonts w:ascii="Arial" w:eastAsia="Arial Unicode MS" w:hAnsi="Arial" w:cs="Arial"/>
          <w:bCs/>
          <w:i/>
          <w:iCs/>
          <w:sz w:val="28"/>
          <w:szCs w:val="28"/>
        </w:rPr>
        <w:t xml:space="preserve"> Revision)</w:t>
      </w:r>
    </w:p>
    <w:p w14:paraId="16EBA431" w14:textId="77777777" w:rsidR="00804657" w:rsidRDefault="00804657" w:rsidP="00804657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6906ACFC" w14:textId="77777777" w:rsidR="00804657" w:rsidRDefault="00804657" w:rsidP="00804657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402740CC" w14:textId="77777777" w:rsidR="00804657" w:rsidRDefault="00804657" w:rsidP="00804657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3CEDB89D" w14:textId="77777777" w:rsidR="00804657" w:rsidRDefault="00804657" w:rsidP="00804657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06D02519" w14:textId="77777777" w:rsidR="00804657" w:rsidRDefault="00804657" w:rsidP="00AC1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2BDD30" w14:textId="43D2430B" w:rsidR="00804657" w:rsidRDefault="00804657" w:rsidP="00804657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903106">
        <w:rPr>
          <w:rFonts w:ascii="Arial" w:hAnsi="Arial" w:cs="Arial"/>
          <w:sz w:val="24"/>
          <w:szCs w:val="24"/>
        </w:rPr>
        <w:t>ICS 17.120.</w:t>
      </w:r>
      <w:r w:rsidR="004B696A">
        <w:rPr>
          <w:rFonts w:ascii="Arial" w:hAnsi="Arial" w:cs="Arial"/>
          <w:sz w:val="24"/>
          <w:szCs w:val="24"/>
        </w:rPr>
        <w:t>10</w:t>
      </w:r>
    </w:p>
    <w:p w14:paraId="7FD1619C" w14:textId="77777777" w:rsidR="00804657" w:rsidRDefault="00804657" w:rsidP="00804657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1E9AA286" w14:textId="77777777" w:rsidR="00804657" w:rsidRDefault="00804657" w:rsidP="00804657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2D59A41B" w14:textId="77777777" w:rsidR="00804657" w:rsidRDefault="00804657" w:rsidP="00AC1594">
      <w:p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</w:p>
    <w:p w14:paraId="62F966D7" w14:textId="77777777" w:rsidR="00804657" w:rsidRPr="000C15AA" w:rsidRDefault="00804657" w:rsidP="0080465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                       © BIS 2024</w:t>
      </w:r>
    </w:p>
    <w:tbl>
      <w:tblPr>
        <w:tblStyle w:val="TableGrid"/>
        <w:tblW w:w="7110" w:type="dxa"/>
        <w:tblInd w:w="2190" w:type="dxa"/>
        <w:tblLook w:val="04A0" w:firstRow="1" w:lastRow="0" w:firstColumn="1" w:lastColumn="0" w:noHBand="0" w:noVBand="1"/>
      </w:tblPr>
      <w:tblGrid>
        <w:gridCol w:w="7110"/>
      </w:tblGrid>
      <w:tr w:rsidR="00804657" w:rsidRPr="00865C19" w14:paraId="1C54CBA8" w14:textId="77777777" w:rsidTr="00B40E1A">
        <w:trPr>
          <w:trHeight w:val="151"/>
        </w:trPr>
        <w:tc>
          <w:tcPr>
            <w:tcW w:w="7110" w:type="dxa"/>
            <w:tcBorders>
              <w:top w:val="thinThickThinLargeGap" w:sz="8" w:space="0" w:color="auto"/>
              <w:left w:val="nil"/>
              <w:bottom w:val="nil"/>
              <w:right w:val="nil"/>
            </w:tcBorders>
          </w:tcPr>
          <w:p w14:paraId="14EB2771" w14:textId="77777777" w:rsidR="00804657" w:rsidRPr="00865C19" w:rsidRDefault="00804657" w:rsidP="00AC1594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15A8F2" w14:textId="77777777" w:rsidR="00804657" w:rsidRPr="00312414" w:rsidRDefault="00804657" w:rsidP="00AC1594">
      <w:pPr>
        <w:spacing w:after="0" w:line="240" w:lineRule="auto"/>
        <w:contextualSpacing/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                 </w:t>
      </w:r>
      <w:r w:rsidRPr="00312414">
        <w:rPr>
          <w:rFonts w:ascii="Arial" w:hAnsi="Arial" w:cs="Arial"/>
          <w:bCs/>
          <w:lang w:val="pt-BR"/>
        </w:rPr>
        <w:t>BUREAU   OF  INDIAN  STANDARDS</w:t>
      </w:r>
    </w:p>
    <w:p w14:paraId="65FF3F9A" w14:textId="77777777" w:rsidR="00804657" w:rsidRPr="00312414" w:rsidRDefault="00804657" w:rsidP="00804657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r w:rsidRPr="00312414">
        <w:rPr>
          <w:rFonts w:ascii="Arial" w:hAnsi="Arial" w:cs="Arial"/>
          <w:bCs/>
        </w:rPr>
        <w:t>MANAK BHAVAN, 9 BAHADUR SHAH ZAFAR MARG</w:t>
      </w:r>
    </w:p>
    <w:p w14:paraId="0C37E22C" w14:textId="77777777" w:rsidR="00804657" w:rsidRPr="00633C5C" w:rsidRDefault="00804657" w:rsidP="0080465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               </w:t>
      </w:r>
      <w:r w:rsidRPr="00312414">
        <w:rPr>
          <w:rFonts w:ascii="Arial" w:hAnsi="Arial" w:cs="Arial"/>
          <w:bCs/>
        </w:rPr>
        <w:t>NEW DELHI 110002</w:t>
      </w:r>
    </w:p>
    <w:p w14:paraId="56EC62B0" w14:textId="77777777" w:rsidR="00804657" w:rsidRPr="000C15AA" w:rsidRDefault="00804657" w:rsidP="0080465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7E691A">
        <w:rPr>
          <w:rFonts w:ascii="Arial" w:hAnsi="Arial" w:cs="Arial"/>
          <w:bCs/>
          <w:sz w:val="20"/>
          <w:szCs w:val="20"/>
        </w:rPr>
        <w:t>www.bis.gov.in             www.standardsbis.in</w:t>
      </w:r>
    </w:p>
    <w:p w14:paraId="4592D653" w14:textId="77777777" w:rsidR="00804657" w:rsidRPr="00A95FB3" w:rsidRDefault="00804657" w:rsidP="00804657">
      <w:pPr>
        <w:pStyle w:val="Heading8"/>
        <w:numPr>
          <w:ilvl w:val="0"/>
          <w:numId w:val="0"/>
        </w:numPr>
        <w:spacing w:befor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D350692" w14:textId="1A3C7BA8" w:rsidR="00804657" w:rsidRDefault="00E51E94" w:rsidP="00804657">
      <w:pPr>
        <w:pStyle w:val="Heading8"/>
        <w:numPr>
          <w:ilvl w:val="0"/>
          <w:numId w:val="0"/>
        </w:numPr>
        <w:spacing w:before="0"/>
        <w:ind w:left="225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July </w:t>
      </w:r>
      <w:r w:rsidR="0080465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804657" w:rsidRPr="00A95FB3">
        <w:rPr>
          <w:rFonts w:ascii="Times New Roman" w:hAnsi="Times New Roman" w:cs="Times New Roman"/>
          <w:sz w:val="24"/>
          <w:szCs w:val="24"/>
        </w:rPr>
        <w:tab/>
      </w:r>
      <w:r w:rsidR="00804657" w:rsidRPr="00A95FB3">
        <w:rPr>
          <w:rFonts w:ascii="Times New Roman" w:hAnsi="Times New Roman" w:cs="Times New Roman"/>
          <w:sz w:val="24"/>
          <w:szCs w:val="24"/>
        </w:rPr>
        <w:tab/>
      </w:r>
      <w:r w:rsidR="00804657" w:rsidRPr="00A95FB3">
        <w:rPr>
          <w:rFonts w:ascii="Times New Roman" w:hAnsi="Times New Roman" w:cs="Times New Roman"/>
          <w:sz w:val="24"/>
          <w:szCs w:val="24"/>
        </w:rPr>
        <w:tab/>
      </w:r>
      <w:r w:rsidR="00804657" w:rsidRPr="00A95FB3">
        <w:rPr>
          <w:rFonts w:ascii="Times New Roman" w:hAnsi="Times New Roman" w:cs="Times New Roman"/>
          <w:sz w:val="24"/>
          <w:szCs w:val="24"/>
        </w:rPr>
        <w:tab/>
      </w:r>
      <w:r w:rsidR="00804657" w:rsidRPr="00A95FB3">
        <w:rPr>
          <w:rFonts w:ascii="Times New Roman" w:hAnsi="Times New Roman" w:cs="Times New Roman"/>
          <w:sz w:val="24"/>
          <w:szCs w:val="24"/>
        </w:rPr>
        <w:tab/>
      </w:r>
      <w:r w:rsidR="00804657" w:rsidRPr="00A95FB3">
        <w:rPr>
          <w:rFonts w:ascii="Times New Roman" w:hAnsi="Times New Roman" w:cs="Times New Roman"/>
          <w:sz w:val="24"/>
          <w:szCs w:val="24"/>
        </w:rPr>
        <w:tab/>
      </w:r>
      <w:r w:rsidR="00804657" w:rsidRPr="00A95FB3">
        <w:rPr>
          <w:rFonts w:ascii="Times New Roman" w:hAnsi="Times New Roman" w:cs="Times New Roman"/>
          <w:sz w:val="24"/>
          <w:szCs w:val="24"/>
        </w:rPr>
        <w:tab/>
      </w:r>
      <w:r w:rsidR="00804657" w:rsidRPr="00A95FB3">
        <w:rPr>
          <w:rFonts w:ascii="Times New Roman" w:hAnsi="Times New Roman" w:cs="Times New Roman"/>
          <w:b/>
          <w:sz w:val="24"/>
          <w:szCs w:val="24"/>
        </w:rPr>
        <w:t>Price</w:t>
      </w:r>
      <w:r w:rsidR="00804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657" w:rsidRPr="00A95FB3">
        <w:rPr>
          <w:rFonts w:ascii="Times New Roman" w:hAnsi="Times New Roman" w:cs="Times New Roman"/>
          <w:b/>
          <w:sz w:val="24"/>
          <w:szCs w:val="24"/>
        </w:rPr>
        <w:t xml:space="preserve">Group </w:t>
      </w:r>
    </w:p>
    <w:p w14:paraId="6649CF67" w14:textId="77777777" w:rsidR="00D41668" w:rsidRDefault="00D41668" w:rsidP="00D41668"/>
    <w:p w14:paraId="38A67D62" w14:textId="77777777" w:rsidR="00D41668" w:rsidRDefault="00D41668" w:rsidP="00D41668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Hydrometry Sectional Committee WRD 01</w:t>
      </w:r>
    </w:p>
    <w:p w14:paraId="6624DFB5" w14:textId="77777777" w:rsidR="00D41668" w:rsidRDefault="00D41668" w:rsidP="00D41668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2FA70B0E" w14:textId="77777777" w:rsidR="00D41668" w:rsidRDefault="00D41668" w:rsidP="00D41668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365FEBEE" w14:textId="77777777" w:rsidR="00D41668" w:rsidRDefault="00D41668" w:rsidP="00D41668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18EAED1E" w14:textId="77777777" w:rsidR="00D41668" w:rsidRDefault="00D41668" w:rsidP="00D41668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079761B5" w14:textId="77777777" w:rsidR="00D41668" w:rsidRDefault="00D41668" w:rsidP="00D41668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NATIONAL FOREWORD</w:t>
      </w:r>
    </w:p>
    <w:p w14:paraId="558C0D02" w14:textId="77777777" w:rsidR="00D41668" w:rsidRDefault="00D41668" w:rsidP="00D41668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78DBDEAA" w14:textId="471C61B8" w:rsidR="00D41668" w:rsidRDefault="003300DC" w:rsidP="00EF2D8A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This Indian Standard (First Revision) </w:t>
      </w:r>
      <w:r w:rsidR="00EF2D8A" w:rsidRPr="00EF2D8A">
        <w:rPr>
          <w:rFonts w:ascii="Times New Roman" w:hAnsi="Times New Roman" w:cs="Arial"/>
          <w:color w:val="000000"/>
          <w:sz w:val="24"/>
          <w:szCs w:val="24"/>
        </w:rPr>
        <w:t>which is identical to ISO 5167</w:t>
      </w:r>
      <w:r w:rsidR="00EF2D8A">
        <w:rPr>
          <w:rFonts w:ascii="Times New Roman" w:hAnsi="Times New Roman" w:cs="Arial"/>
          <w:color w:val="000000"/>
          <w:sz w:val="24"/>
          <w:szCs w:val="24"/>
        </w:rPr>
        <w:t>-4 : 20</w:t>
      </w:r>
      <w:r w:rsidR="00AC098B">
        <w:rPr>
          <w:rFonts w:ascii="Times New Roman" w:hAnsi="Times New Roman" w:cs="Arial"/>
          <w:color w:val="000000"/>
          <w:sz w:val="24"/>
          <w:szCs w:val="24"/>
        </w:rPr>
        <w:t>22</w:t>
      </w:r>
      <w:r w:rsidR="00EF2D8A">
        <w:rPr>
          <w:rFonts w:ascii="Times New Roman" w:hAnsi="Times New Roman" w:cs="Arial"/>
          <w:color w:val="000000"/>
          <w:sz w:val="24"/>
          <w:szCs w:val="24"/>
        </w:rPr>
        <w:t xml:space="preserve"> ‘Measurement of fluid flow by </w:t>
      </w:r>
      <w:r w:rsidR="00EF2D8A" w:rsidRPr="00EF2D8A">
        <w:rPr>
          <w:rFonts w:ascii="Times New Roman" w:hAnsi="Times New Roman" w:cs="Arial"/>
          <w:color w:val="000000"/>
          <w:sz w:val="24"/>
          <w:szCs w:val="24"/>
        </w:rPr>
        <w:t>means of pressure differential devices inserted in circular cross-</w:t>
      </w:r>
      <w:r w:rsidR="00EF2D8A">
        <w:rPr>
          <w:rFonts w:ascii="Times New Roman" w:hAnsi="Times New Roman" w:cs="Arial"/>
          <w:color w:val="000000"/>
          <w:sz w:val="24"/>
          <w:szCs w:val="24"/>
        </w:rPr>
        <w:t xml:space="preserve">section conduits running full — </w:t>
      </w:r>
      <w:r w:rsidR="00EF2D8A" w:rsidRPr="00EF2D8A">
        <w:rPr>
          <w:rFonts w:ascii="Times New Roman" w:hAnsi="Times New Roman" w:cs="Arial"/>
          <w:color w:val="000000"/>
          <w:sz w:val="24"/>
          <w:szCs w:val="24"/>
        </w:rPr>
        <w:t>Part 4 : Venturi tubes' issued by the International Organization for St</w:t>
      </w:r>
      <w:r w:rsidR="00EF2D8A">
        <w:rPr>
          <w:rFonts w:ascii="Times New Roman" w:hAnsi="Times New Roman" w:cs="Arial"/>
          <w:color w:val="000000"/>
          <w:sz w:val="24"/>
          <w:szCs w:val="24"/>
        </w:rPr>
        <w:t>andardization (ISO)</w:t>
      </w:r>
      <w:r w:rsidR="0020007E">
        <w:rPr>
          <w:rFonts w:ascii="Times New Roman" w:hAnsi="Times New Roman" w:cs="Arial"/>
          <w:color w:val="000000"/>
          <w:sz w:val="24"/>
          <w:szCs w:val="24"/>
        </w:rPr>
        <w:t>,</w:t>
      </w:r>
      <w:r w:rsidR="00EF2D8A">
        <w:rPr>
          <w:rFonts w:ascii="Times New Roman" w:hAnsi="Times New Roman" w:cs="Arial"/>
          <w:color w:val="000000"/>
          <w:sz w:val="24"/>
          <w:szCs w:val="24"/>
        </w:rPr>
        <w:t xml:space="preserve"> was adopted </w:t>
      </w:r>
      <w:r w:rsidR="00EF2D8A" w:rsidRPr="00EF2D8A">
        <w:rPr>
          <w:rFonts w:ascii="Times New Roman" w:hAnsi="Times New Roman" w:cs="Arial"/>
          <w:color w:val="000000"/>
          <w:sz w:val="24"/>
          <w:szCs w:val="24"/>
        </w:rPr>
        <w:t>by the Bureau of Indian Standards on the recommendation of the</w:t>
      </w:r>
      <w:r w:rsidR="00EF2D8A">
        <w:rPr>
          <w:rFonts w:ascii="Times New Roman" w:hAnsi="Times New Roman" w:cs="Arial"/>
          <w:color w:val="000000"/>
          <w:sz w:val="24"/>
          <w:szCs w:val="24"/>
        </w:rPr>
        <w:t xml:space="preserve"> Hydrometry Sectional Committee </w:t>
      </w:r>
      <w:r w:rsidR="0020007E">
        <w:rPr>
          <w:rFonts w:ascii="Times New Roman" w:hAnsi="Times New Roman" w:cs="Arial"/>
          <w:color w:val="000000"/>
          <w:sz w:val="24"/>
          <w:szCs w:val="24"/>
        </w:rPr>
        <w:t>and approved</w:t>
      </w:r>
      <w:r w:rsidR="00EF2D8A" w:rsidRPr="00EF2D8A">
        <w:rPr>
          <w:rFonts w:ascii="Times New Roman" w:hAnsi="Times New Roman" w:cs="Arial"/>
          <w:color w:val="000000"/>
          <w:sz w:val="24"/>
          <w:szCs w:val="24"/>
        </w:rPr>
        <w:t xml:space="preserve"> of the Water Resources Division Council.</w:t>
      </w:r>
    </w:p>
    <w:p w14:paraId="25FA10E7" w14:textId="77777777" w:rsidR="00EF2D8A" w:rsidRDefault="00EF2D8A" w:rsidP="00EF2D8A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3AD3F7A7" w14:textId="7996F4EF" w:rsidR="00976D57" w:rsidRDefault="00976D57" w:rsidP="00976D57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This standard was originally published in </w:t>
      </w:r>
      <w:r>
        <w:rPr>
          <w:rFonts w:ascii="Times New Roman" w:hAnsi="Times New Roman" w:cs="Arial"/>
          <w:color w:val="000000"/>
          <w:sz w:val="24"/>
          <w:szCs w:val="24"/>
        </w:rPr>
        <w:t>2018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 based on ISO </w:t>
      </w:r>
      <w:r>
        <w:rPr>
          <w:rFonts w:ascii="Times New Roman" w:hAnsi="Times New Roman" w:cs="Arial"/>
          <w:color w:val="000000"/>
          <w:sz w:val="24"/>
          <w:szCs w:val="24"/>
        </w:rPr>
        <w:t>5167-4 : 2003. This first revision has been undertaken to align it with the latest version of ISO 5167-4 : 2022.</w:t>
      </w:r>
    </w:p>
    <w:p w14:paraId="1D7F61B4" w14:textId="77777777" w:rsidR="00976D57" w:rsidRDefault="00976D57" w:rsidP="00EF2D8A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05672C30" w14:textId="77777777" w:rsidR="00EF2D8A" w:rsidRDefault="00C26DFD" w:rsidP="00EF2D8A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C26DFD">
        <w:rPr>
          <w:rFonts w:ascii="Times New Roman" w:hAnsi="Times New Roman" w:cs="Arial"/>
          <w:color w:val="000000"/>
          <w:sz w:val="24"/>
          <w:szCs w:val="24"/>
        </w:rPr>
        <w:t>This standard is being published in five parts. Other parts in the series are:</w:t>
      </w:r>
    </w:p>
    <w:p w14:paraId="6216DEBD" w14:textId="77777777" w:rsidR="00C26DFD" w:rsidRDefault="00C26DFD" w:rsidP="00EF2D8A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226BE66F" w14:textId="2D52DB31" w:rsidR="00C26DFD" w:rsidRDefault="00C26DFD" w:rsidP="00C26DFD">
      <w:pPr>
        <w:spacing w:after="0" w:line="240" w:lineRule="auto"/>
        <w:ind w:firstLine="720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C26DFD">
        <w:rPr>
          <w:rFonts w:ascii="Times New Roman" w:hAnsi="Times New Roman" w:cs="Arial"/>
          <w:color w:val="000000"/>
          <w:sz w:val="24"/>
          <w:szCs w:val="24"/>
        </w:rPr>
        <w:t>Part</w:t>
      </w:r>
      <w:r w:rsidR="0020007E">
        <w:rPr>
          <w:rFonts w:ascii="Times New Roman" w:hAnsi="Times New Roman" w:cs="Arial"/>
          <w:color w:val="000000"/>
          <w:sz w:val="24"/>
          <w:szCs w:val="24"/>
        </w:rPr>
        <w:t xml:space="preserve"> 1 General Principles and Requirements </w:t>
      </w:r>
    </w:p>
    <w:p w14:paraId="2073E7C6" w14:textId="77777777" w:rsidR="00C26DFD" w:rsidRDefault="00C26DFD" w:rsidP="00C26DFD">
      <w:pPr>
        <w:spacing w:after="0" w:line="240" w:lineRule="auto"/>
        <w:ind w:firstLine="720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C26DFD">
        <w:rPr>
          <w:rFonts w:ascii="Times New Roman" w:hAnsi="Times New Roman" w:cs="Arial"/>
          <w:color w:val="000000"/>
          <w:sz w:val="24"/>
          <w:szCs w:val="24"/>
        </w:rPr>
        <w:t xml:space="preserve">Part 2 Orifice plates </w:t>
      </w:r>
      <w:r w:rsidRPr="00C26DFD">
        <w:rPr>
          <w:rFonts w:ascii="Times New Roman" w:hAnsi="Times New Roman" w:cs="Arial"/>
          <w:color w:val="000000"/>
          <w:sz w:val="24"/>
          <w:szCs w:val="24"/>
        </w:rPr>
        <w:cr/>
      </w:r>
      <w:r w:rsidRPr="00C26DFD">
        <w:t xml:space="preserve"> </w:t>
      </w:r>
      <w:r>
        <w:tab/>
      </w:r>
      <w:r w:rsidRPr="00C26DFD">
        <w:rPr>
          <w:rFonts w:ascii="Times New Roman" w:hAnsi="Times New Roman" w:cs="Arial"/>
          <w:color w:val="000000"/>
          <w:sz w:val="24"/>
          <w:szCs w:val="24"/>
        </w:rPr>
        <w:t>Part 3 Nozzles and Venturi nozzles</w:t>
      </w:r>
    </w:p>
    <w:p w14:paraId="198F5A4B" w14:textId="77777777" w:rsidR="006A4466" w:rsidRDefault="00C26DFD" w:rsidP="006A4466">
      <w:pPr>
        <w:spacing w:after="0" w:line="240" w:lineRule="auto"/>
        <w:ind w:firstLine="720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C26DFD">
        <w:rPr>
          <w:rFonts w:ascii="Times New Roman" w:hAnsi="Times New Roman" w:cs="Arial"/>
          <w:color w:val="000000"/>
          <w:sz w:val="24"/>
          <w:szCs w:val="24"/>
        </w:rPr>
        <w:t xml:space="preserve">Part 5 Cone meters </w:t>
      </w:r>
      <w:r w:rsidRPr="00C26DFD">
        <w:rPr>
          <w:rFonts w:ascii="Times New Roman" w:hAnsi="Times New Roman" w:cs="Arial"/>
          <w:color w:val="000000"/>
          <w:sz w:val="24"/>
          <w:szCs w:val="24"/>
        </w:rPr>
        <w:cr/>
      </w:r>
    </w:p>
    <w:p w14:paraId="2B87AE0A" w14:textId="77777777" w:rsidR="00C26DFD" w:rsidRDefault="006A4466" w:rsidP="006A4466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6A4466">
        <w:rPr>
          <w:rFonts w:ascii="Times New Roman" w:hAnsi="Times New Roman" w:cs="Arial"/>
          <w:color w:val="000000"/>
          <w:sz w:val="24"/>
          <w:szCs w:val="24"/>
        </w:rPr>
        <w:t>The text of ISO Standard has been approved as suitable for publication as an Indian Standard without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6A4466">
        <w:rPr>
          <w:rFonts w:ascii="Times New Roman" w:hAnsi="Times New Roman" w:cs="Arial"/>
          <w:color w:val="000000"/>
          <w:sz w:val="24"/>
          <w:szCs w:val="24"/>
        </w:rPr>
        <w:t>deviations. Certain conventions are, however, not identical to those used in Indian Standards.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6A4466">
        <w:rPr>
          <w:rFonts w:ascii="Times New Roman" w:hAnsi="Times New Roman" w:cs="Arial"/>
          <w:color w:val="000000"/>
          <w:sz w:val="24"/>
          <w:szCs w:val="24"/>
        </w:rPr>
        <w:t>Attention is particularly drawn to the following:</w:t>
      </w:r>
    </w:p>
    <w:p w14:paraId="0F2C715B" w14:textId="77777777" w:rsidR="006A4466" w:rsidRDefault="006A4466" w:rsidP="006A4466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37055A9E" w14:textId="77777777" w:rsidR="00CF5861" w:rsidRDefault="00CF5861" w:rsidP="00CF58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CF5861">
        <w:rPr>
          <w:rFonts w:ascii="Times New Roman" w:hAnsi="Times New Roman" w:cs="Arial"/>
          <w:color w:val="000000"/>
          <w:sz w:val="24"/>
          <w:szCs w:val="24"/>
        </w:rPr>
        <w:t>Wherever the words 'International Standard' appear referring to this standard, they should be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CF5861">
        <w:rPr>
          <w:rFonts w:ascii="Times New Roman" w:hAnsi="Times New Roman" w:cs="Arial"/>
          <w:color w:val="000000"/>
          <w:sz w:val="24"/>
          <w:szCs w:val="24"/>
        </w:rPr>
        <w:t xml:space="preserve">read as 'Indian Standard'; and </w:t>
      </w:r>
    </w:p>
    <w:p w14:paraId="63723FD4" w14:textId="77777777" w:rsidR="006A4466" w:rsidRDefault="00CF5861" w:rsidP="00CF58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CF5861">
        <w:rPr>
          <w:rFonts w:ascii="Times New Roman" w:hAnsi="Times New Roman" w:cs="Arial"/>
          <w:color w:val="000000"/>
          <w:sz w:val="24"/>
          <w:szCs w:val="24"/>
        </w:rPr>
        <w:t>Comma (,) has been used as a decimal marker, while in Indian Standards, the current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CF5861">
        <w:rPr>
          <w:rFonts w:ascii="Times New Roman" w:hAnsi="Times New Roman" w:cs="Arial"/>
          <w:color w:val="000000"/>
          <w:sz w:val="24"/>
          <w:szCs w:val="24"/>
        </w:rPr>
        <w:t>practice is to use a p</w:t>
      </w:r>
      <w:r>
        <w:rPr>
          <w:rFonts w:ascii="Times New Roman" w:hAnsi="Times New Roman" w:cs="Arial"/>
          <w:color w:val="000000"/>
          <w:sz w:val="24"/>
          <w:szCs w:val="24"/>
        </w:rPr>
        <w:t>oint (.) as the decimal marker.</w:t>
      </w:r>
    </w:p>
    <w:p w14:paraId="31079F74" w14:textId="77777777" w:rsidR="00CF5861" w:rsidRDefault="00CF5861" w:rsidP="00CF5861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0C7CED26" w14:textId="6CB8CC2D" w:rsidR="001A1250" w:rsidRDefault="001A1250" w:rsidP="001A125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1A1250">
        <w:rPr>
          <w:rFonts w:ascii="Times New Roman" w:hAnsi="Times New Roman" w:cs="Arial"/>
          <w:color w:val="000000"/>
          <w:sz w:val="24"/>
          <w:szCs w:val="24"/>
        </w:rPr>
        <w:t>In this ado</w:t>
      </w:r>
      <w:r w:rsidR="0070264B">
        <w:rPr>
          <w:rFonts w:ascii="Times New Roman" w:hAnsi="Times New Roman" w:cs="Arial"/>
          <w:color w:val="000000"/>
          <w:sz w:val="24"/>
          <w:szCs w:val="24"/>
        </w:rPr>
        <w:t>pted standard, reference</w:t>
      </w:r>
      <w:r w:rsidR="00E67AEE">
        <w:rPr>
          <w:rFonts w:ascii="Times New Roman" w:hAnsi="Times New Roman" w:cs="Arial"/>
          <w:color w:val="000000"/>
          <w:sz w:val="24"/>
          <w:szCs w:val="24"/>
        </w:rPr>
        <w:t xml:space="preserve"> to</w:t>
      </w:r>
      <w:r w:rsidR="0070264B">
        <w:rPr>
          <w:rFonts w:ascii="Times New Roman" w:hAnsi="Times New Roman" w:cs="Arial"/>
          <w:color w:val="000000"/>
          <w:sz w:val="24"/>
          <w:szCs w:val="24"/>
        </w:rPr>
        <w:t xml:space="preserve"> certain</w:t>
      </w:r>
      <w:r w:rsidR="00E67AEE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1A1250">
        <w:rPr>
          <w:rFonts w:ascii="Times New Roman" w:hAnsi="Times New Roman" w:cs="Arial"/>
          <w:color w:val="000000"/>
          <w:sz w:val="24"/>
          <w:szCs w:val="24"/>
        </w:rPr>
        <w:t>Internationa</w:t>
      </w:r>
      <w:r w:rsidR="0070264B">
        <w:rPr>
          <w:rFonts w:ascii="Times New Roman" w:hAnsi="Times New Roman" w:cs="Arial"/>
          <w:color w:val="000000"/>
          <w:sz w:val="24"/>
          <w:szCs w:val="24"/>
        </w:rPr>
        <w:t>l Standard</w:t>
      </w:r>
      <w:r w:rsidR="00976D57">
        <w:rPr>
          <w:rFonts w:ascii="Times New Roman" w:hAnsi="Times New Roman" w:cs="Arial"/>
          <w:color w:val="000000"/>
          <w:sz w:val="24"/>
          <w:szCs w:val="24"/>
        </w:rPr>
        <w:t>s</w:t>
      </w:r>
      <w:r w:rsidR="0070264B">
        <w:rPr>
          <w:rFonts w:ascii="Times New Roman" w:hAnsi="Times New Roman" w:cs="Arial"/>
          <w:color w:val="000000"/>
          <w:sz w:val="24"/>
          <w:szCs w:val="24"/>
        </w:rPr>
        <w:t xml:space="preserve"> appear</w:t>
      </w:r>
      <w:r w:rsidR="00976D57">
        <w:rPr>
          <w:rFonts w:ascii="Times New Roman" w:hAnsi="Times New Roman" w:cs="Arial"/>
          <w:color w:val="000000"/>
          <w:sz w:val="24"/>
          <w:szCs w:val="24"/>
        </w:rPr>
        <w:t>s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for which Indian </w:t>
      </w:r>
      <w:r w:rsidR="0070264B">
        <w:rPr>
          <w:rFonts w:ascii="Times New Roman" w:hAnsi="Times New Roman" w:cs="Arial"/>
          <w:color w:val="000000"/>
          <w:sz w:val="24"/>
          <w:szCs w:val="24"/>
        </w:rPr>
        <w:t>Standard</w:t>
      </w:r>
      <w:r w:rsidR="00976D57">
        <w:rPr>
          <w:rFonts w:ascii="Times New Roman" w:hAnsi="Times New Roman" w:cs="Arial"/>
          <w:color w:val="000000"/>
          <w:sz w:val="24"/>
          <w:szCs w:val="24"/>
        </w:rPr>
        <w:t>s</w:t>
      </w:r>
      <w:r w:rsidR="0070264B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1A1250">
        <w:rPr>
          <w:rFonts w:ascii="Times New Roman" w:hAnsi="Times New Roman" w:cs="Arial"/>
          <w:color w:val="000000"/>
          <w:sz w:val="24"/>
          <w:szCs w:val="24"/>
        </w:rPr>
        <w:t>also exist. The corresponding Indian Standards, which are to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be substituted in their place, </w:t>
      </w:r>
      <w:r w:rsidRPr="001A1250">
        <w:rPr>
          <w:rFonts w:ascii="Times New Roman" w:hAnsi="Times New Roman" w:cs="Arial"/>
          <w:color w:val="000000"/>
          <w:sz w:val="24"/>
          <w:szCs w:val="24"/>
        </w:rPr>
        <w:t>are listed below along with their degree of equivalence for the edition indicated:</w:t>
      </w:r>
    </w:p>
    <w:p w14:paraId="2FA293A3" w14:textId="77777777" w:rsidR="001A1250" w:rsidRDefault="001A1250" w:rsidP="001A125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477"/>
        <w:gridCol w:w="4370"/>
        <w:gridCol w:w="1729"/>
      </w:tblGrid>
      <w:tr w:rsidR="00411D18" w14:paraId="72DC23A4" w14:textId="77777777" w:rsidTr="00B40E1A">
        <w:trPr>
          <w:trHeight w:val="377"/>
        </w:trPr>
        <w:tc>
          <w:tcPr>
            <w:tcW w:w="3437" w:type="dxa"/>
            <w:hideMark/>
          </w:tcPr>
          <w:p w14:paraId="0B069CF9" w14:textId="77777777" w:rsidR="00411D18" w:rsidRDefault="00411D18" w:rsidP="00B40E1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International Standard</w:t>
            </w:r>
          </w:p>
        </w:tc>
        <w:tc>
          <w:tcPr>
            <w:tcW w:w="4319" w:type="dxa"/>
            <w:hideMark/>
          </w:tcPr>
          <w:p w14:paraId="17C0BE3F" w14:textId="77777777" w:rsidR="00411D18" w:rsidRDefault="00411D18" w:rsidP="00B40E1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Corresponding Indian Standard</w:t>
            </w:r>
          </w:p>
        </w:tc>
        <w:tc>
          <w:tcPr>
            <w:tcW w:w="1709" w:type="dxa"/>
            <w:hideMark/>
          </w:tcPr>
          <w:p w14:paraId="584F3CCB" w14:textId="77777777" w:rsidR="00411D18" w:rsidRDefault="00411D18" w:rsidP="00B40E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Degree of Equivalence</w:t>
            </w:r>
          </w:p>
        </w:tc>
      </w:tr>
      <w:tr w:rsidR="00411D18" w14:paraId="2465EA4D" w14:textId="77777777" w:rsidTr="00B40E1A">
        <w:trPr>
          <w:trHeight w:val="377"/>
        </w:trPr>
        <w:tc>
          <w:tcPr>
            <w:tcW w:w="3437" w:type="dxa"/>
          </w:tcPr>
          <w:p w14:paraId="02503A00" w14:textId="2081A74B" w:rsidR="00411D18" w:rsidRPr="00411D18" w:rsidRDefault="00411D18" w:rsidP="00411D1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 5167-1 : 20</w:t>
            </w:r>
            <w:r w:rsidR="00A966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Measurement of </w:t>
            </w:r>
            <w:r w:rsidRPr="00411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fluid flow by means of pressure</w:t>
            </w:r>
          </w:p>
          <w:p w14:paraId="5ACDC95F" w14:textId="77777777" w:rsidR="00411D18" w:rsidRPr="00411D18" w:rsidRDefault="00411D18" w:rsidP="00411D1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differenti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al devices inserted in circular </w:t>
            </w:r>
            <w:r w:rsidRPr="00411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cross-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section conduits running full — Part 1 : General principles and </w:t>
            </w:r>
            <w:r w:rsidRPr="00411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requirements</w:t>
            </w:r>
          </w:p>
        </w:tc>
        <w:tc>
          <w:tcPr>
            <w:tcW w:w="4319" w:type="dxa"/>
          </w:tcPr>
          <w:p w14:paraId="7DD9BF79" w14:textId="290CE2A5" w:rsidR="00411D18" w:rsidRPr="00411D18" w:rsidRDefault="00A966FF" w:rsidP="00411D1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</w:t>
            </w:r>
            <w:r w:rsidR="00411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</w:tcPr>
          <w:p w14:paraId="25937115" w14:textId="6434F86D" w:rsidR="00411D18" w:rsidRPr="00411D18" w:rsidRDefault="00A966FF" w:rsidP="00B40E1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</w:t>
            </w:r>
          </w:p>
        </w:tc>
      </w:tr>
    </w:tbl>
    <w:p w14:paraId="74DA643C" w14:textId="77777777" w:rsidR="00CF5861" w:rsidRDefault="00CF5861" w:rsidP="001A125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794450F2" w14:textId="77777777" w:rsidR="00CE4B37" w:rsidRDefault="00CE4B37" w:rsidP="00CE4B37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CE4B37">
        <w:rPr>
          <w:rFonts w:ascii="Times New Roman" w:hAnsi="Times New Roman" w:cs="Arial"/>
          <w:color w:val="000000"/>
          <w:sz w:val="24"/>
          <w:szCs w:val="24"/>
        </w:rPr>
        <w:t>The technical committee responsible for the preparation of this stand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ard has reviewed the provisions </w:t>
      </w:r>
      <w:r w:rsidRPr="00CE4B37">
        <w:rPr>
          <w:rFonts w:ascii="Times New Roman" w:hAnsi="Times New Roman" w:cs="Arial"/>
          <w:color w:val="000000"/>
          <w:sz w:val="24"/>
          <w:szCs w:val="24"/>
        </w:rPr>
        <w:t>of the following ISO/IEC standard and has decided that they are ac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ceptable for use in conjunction </w:t>
      </w:r>
      <w:r w:rsidRPr="00CE4B37">
        <w:rPr>
          <w:rFonts w:ascii="Times New Roman" w:hAnsi="Times New Roman" w:cs="Arial"/>
          <w:color w:val="000000"/>
          <w:sz w:val="24"/>
          <w:szCs w:val="24"/>
        </w:rPr>
        <w:t>with this standard:</w:t>
      </w:r>
    </w:p>
    <w:p w14:paraId="4CE25D8F" w14:textId="77777777" w:rsidR="00CE4B37" w:rsidRDefault="00CE4B37" w:rsidP="00CE4B37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430F47" w14:paraId="72E0339F" w14:textId="77777777" w:rsidTr="00785D98">
        <w:trPr>
          <w:trHeight w:val="413"/>
        </w:trPr>
        <w:tc>
          <w:tcPr>
            <w:tcW w:w="3595" w:type="dxa"/>
          </w:tcPr>
          <w:p w14:paraId="232C045A" w14:textId="77777777" w:rsidR="00430F47" w:rsidRPr="00430F47" w:rsidRDefault="00430F47" w:rsidP="00430F47">
            <w:pPr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  <w:lastRenderedPageBreak/>
              <w:t>International Standard</w:t>
            </w:r>
          </w:p>
        </w:tc>
        <w:tc>
          <w:tcPr>
            <w:tcW w:w="5755" w:type="dxa"/>
          </w:tcPr>
          <w:p w14:paraId="6AAFBC85" w14:textId="77777777" w:rsidR="00430F47" w:rsidRPr="00430F47" w:rsidRDefault="00430F47" w:rsidP="00430F47">
            <w:pPr>
              <w:jc w:val="center"/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  <w:t>Title</w:t>
            </w:r>
          </w:p>
        </w:tc>
      </w:tr>
      <w:tr w:rsidR="00430F47" w14:paraId="0A7E354A" w14:textId="77777777" w:rsidTr="00785D98">
        <w:tc>
          <w:tcPr>
            <w:tcW w:w="3595" w:type="dxa"/>
          </w:tcPr>
          <w:p w14:paraId="1E295DE3" w14:textId="77777777" w:rsidR="00430F47" w:rsidRPr="00430F47" w:rsidRDefault="00430F47" w:rsidP="00430F47">
            <w:pPr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color w:val="000000"/>
                <w:sz w:val="24"/>
                <w:szCs w:val="24"/>
              </w:rPr>
              <w:t>ISO 4006 : 1991</w:t>
            </w:r>
          </w:p>
        </w:tc>
        <w:tc>
          <w:tcPr>
            <w:tcW w:w="5755" w:type="dxa"/>
          </w:tcPr>
          <w:p w14:paraId="3403A282" w14:textId="77777777" w:rsidR="00430F47" w:rsidRPr="00430F47" w:rsidRDefault="00430F47" w:rsidP="00430F47">
            <w:pPr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color w:val="000000"/>
                <w:sz w:val="24"/>
                <w:szCs w:val="24"/>
              </w:rPr>
              <w:t>Measurement of fluid flow in closed conduits — Vocabulary and symbols</w:t>
            </w:r>
          </w:p>
        </w:tc>
      </w:tr>
    </w:tbl>
    <w:p w14:paraId="26CF061E" w14:textId="77777777" w:rsidR="000E3325" w:rsidRPr="00C269C3" w:rsidRDefault="000E3325" w:rsidP="000E3325">
      <w:pPr>
        <w:jc w:val="both"/>
        <w:rPr>
          <w:rFonts w:ascii="DVB-TTSurekhEN" w:hAnsi="DVB-TTSurekhE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For the purpose of deciding whether a particular requirement of this standard is complied with the final value, observed or calculated expressing the result of a test or analysis shall be rounded off in accordance with IS 2 : 2022 ‘Rules for rounding off numerical values (</w:t>
      </w:r>
      <w:r w:rsidRPr="007E691A">
        <w:rPr>
          <w:rFonts w:ascii="Times New Roman" w:hAnsi="Times New Roman" w:cs="Times New Roman"/>
          <w:i/>
          <w:iCs/>
          <w:sz w:val="24"/>
          <w:szCs w:val="24"/>
        </w:rPr>
        <w:t>second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revision</w:t>
      </w:r>
      <w:r>
        <w:rPr>
          <w:rFonts w:ascii="Times New Roman" w:hAnsi="Times New Roman" w:cs="Times New Roman"/>
          <w:sz w:val="24"/>
          <w:szCs w:val="24"/>
        </w:rPr>
        <w:t>)’.  The number of significant places retained in the rounded off value should be the same as that of the specified value in this standard.</w:t>
      </w:r>
    </w:p>
    <w:p w14:paraId="6F2A6325" w14:textId="77777777" w:rsidR="00CE4B37" w:rsidRDefault="00CE4B37" w:rsidP="00CE4B37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482A6FC3" w14:textId="77777777" w:rsidR="00411D18" w:rsidRPr="00CF5861" w:rsidRDefault="00411D18" w:rsidP="001A125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1F0E6648" w14:textId="77777777" w:rsidR="00CF5861" w:rsidRDefault="00CF5861" w:rsidP="00CF5861">
      <w:pPr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067694DA" w14:textId="77777777" w:rsidR="00CF5861" w:rsidRPr="00CF5861" w:rsidRDefault="00CF5861" w:rsidP="00CF5861">
      <w:pPr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0E39279F" w14:textId="77777777" w:rsidR="00CF5861" w:rsidRPr="00CF5861" w:rsidRDefault="00CF5861" w:rsidP="00CF5861">
      <w:pPr>
        <w:pStyle w:val="ListParagraph"/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41B1A99F" w14:textId="77777777" w:rsidR="00D41668" w:rsidRPr="00D41668" w:rsidRDefault="00D41668" w:rsidP="00D41668"/>
    <w:p w14:paraId="57C50EB4" w14:textId="77777777" w:rsidR="00CE77C2" w:rsidRDefault="00CE77C2"/>
    <w:sectPr w:rsidR="00CE77C2" w:rsidSect="008046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EC787F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5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292249C"/>
    <w:multiLevelType w:val="hybridMultilevel"/>
    <w:tmpl w:val="7E249DBE"/>
    <w:lvl w:ilvl="0" w:tplc="A7F88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5473">
    <w:abstractNumId w:val="0"/>
  </w:num>
  <w:num w:numId="2" w16cid:durableId="20587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4A"/>
    <w:rsid w:val="00070529"/>
    <w:rsid w:val="000E3325"/>
    <w:rsid w:val="0010673C"/>
    <w:rsid w:val="001A1250"/>
    <w:rsid w:val="001B1923"/>
    <w:rsid w:val="0020007E"/>
    <w:rsid w:val="00214030"/>
    <w:rsid w:val="00232BFF"/>
    <w:rsid w:val="0026322D"/>
    <w:rsid w:val="003300DC"/>
    <w:rsid w:val="00336981"/>
    <w:rsid w:val="003E7274"/>
    <w:rsid w:val="00411D18"/>
    <w:rsid w:val="00430F47"/>
    <w:rsid w:val="004B1732"/>
    <w:rsid w:val="004B696A"/>
    <w:rsid w:val="004F768B"/>
    <w:rsid w:val="00562DF3"/>
    <w:rsid w:val="006A4466"/>
    <w:rsid w:val="006E778D"/>
    <w:rsid w:val="0070264B"/>
    <w:rsid w:val="007553B8"/>
    <w:rsid w:val="00785D98"/>
    <w:rsid w:val="00804657"/>
    <w:rsid w:val="008C10FB"/>
    <w:rsid w:val="009117A6"/>
    <w:rsid w:val="00976D57"/>
    <w:rsid w:val="00A966FF"/>
    <w:rsid w:val="00AC098B"/>
    <w:rsid w:val="00AC1594"/>
    <w:rsid w:val="00C26DFD"/>
    <w:rsid w:val="00CB624A"/>
    <w:rsid w:val="00CE4B37"/>
    <w:rsid w:val="00CE77C2"/>
    <w:rsid w:val="00CF5861"/>
    <w:rsid w:val="00D03152"/>
    <w:rsid w:val="00D41668"/>
    <w:rsid w:val="00D66ECF"/>
    <w:rsid w:val="00E23D82"/>
    <w:rsid w:val="00E51E94"/>
    <w:rsid w:val="00E67AEE"/>
    <w:rsid w:val="00ED462C"/>
    <w:rsid w:val="00E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9E10"/>
  <w15:chartTrackingRefBased/>
  <w15:docId w15:val="{E429E4BB-3393-4FAB-9B49-0CCCC36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57"/>
  </w:style>
  <w:style w:type="paragraph" w:styleId="Heading1">
    <w:name w:val="heading 1"/>
    <w:basedOn w:val="Normal"/>
    <w:next w:val="Normal"/>
    <w:link w:val="Heading1Char"/>
    <w:uiPriority w:val="9"/>
    <w:qFormat/>
    <w:rsid w:val="0080465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657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657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657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65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65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65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65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65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65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65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6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6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65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65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6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6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6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80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Inno</cp:lastModifiedBy>
  <cp:revision>13</cp:revision>
  <dcterms:created xsi:type="dcterms:W3CDTF">2024-07-24T08:52:00Z</dcterms:created>
  <dcterms:modified xsi:type="dcterms:W3CDTF">2024-07-25T12:47:00Z</dcterms:modified>
</cp:coreProperties>
</file>