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D8DE5" w14:textId="4B54BF67" w:rsidR="00275B9A" w:rsidRDefault="00275B9A" w:rsidP="00275B9A">
      <w:pPr>
        <w:spacing w:after="0" w:line="240" w:lineRule="auto"/>
        <w:ind w:left="3510"/>
        <w:jc w:val="right"/>
        <w:rPr>
          <w:rFonts w:ascii="Arial" w:hAnsi="Arial" w:cs="Arial"/>
          <w:sz w:val="24"/>
        </w:rPr>
      </w:pPr>
    </w:p>
    <w:p w14:paraId="2DD96B4D" w14:textId="0D3FBACC" w:rsidR="00275B9A" w:rsidRDefault="00DF4512" w:rsidP="00275B9A">
      <w:pPr>
        <w:autoSpaceDE w:val="0"/>
        <w:autoSpaceDN w:val="0"/>
        <w:adjustRightInd w:val="0"/>
        <w:spacing w:after="0" w:line="240" w:lineRule="auto"/>
        <w:ind w:left="3510" w:firstLine="2880"/>
        <w:rPr>
          <w:rFonts w:ascii="Arial" w:eastAsia="Times New Roman" w:hAnsi="Arial" w:cs="Arial"/>
          <w:b/>
          <w:color w:val="000000"/>
          <w:sz w:val="24"/>
          <w:lang w:val="fr-FR"/>
        </w:rPr>
      </w:pPr>
      <w:r>
        <w:rPr>
          <w:noProof/>
          <w:lang w:val="en-US"/>
        </w:rPr>
        <mc:AlternateContent>
          <mc:Choice Requires="wps">
            <w:drawing>
              <wp:anchor distT="0" distB="0" distL="114300" distR="114300" simplePos="0" relativeHeight="251663360" behindDoc="0" locked="0" layoutInCell="1" allowOverlap="1" wp14:anchorId="09B3B2E1" wp14:editId="658D84CF">
                <wp:simplePos x="0" y="0"/>
                <wp:positionH relativeFrom="column">
                  <wp:posOffset>2274080</wp:posOffset>
                </wp:positionH>
                <wp:positionV relativeFrom="paragraph">
                  <wp:posOffset>105531</wp:posOffset>
                </wp:positionV>
                <wp:extent cx="1707266" cy="636607"/>
                <wp:effectExtent l="0" t="0" r="2667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266" cy="636607"/>
                        </a:xfrm>
                        <a:prstGeom prst="rect">
                          <a:avLst/>
                        </a:prstGeom>
                        <a:solidFill>
                          <a:srgbClr val="FFFFFF"/>
                        </a:solidFill>
                        <a:ln w="9525">
                          <a:solidFill>
                            <a:sysClr val="window" lastClr="FFFFFF">
                              <a:lumMod val="100000"/>
                              <a:lumOff val="0"/>
                            </a:sysClr>
                          </a:solidFill>
                          <a:miter lim="800000"/>
                          <a:headEnd/>
                          <a:tailEnd/>
                        </a:ln>
                      </wps:spPr>
                      <wps:txbx>
                        <w:txbxContent>
                          <w:p w14:paraId="6D7ECD5A" w14:textId="77777777" w:rsidR="00275B9A" w:rsidRPr="00422026" w:rsidRDefault="00275B9A" w:rsidP="00275B9A">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3498EE1B" w14:textId="77777777" w:rsidR="00275B9A" w:rsidRPr="00F20963" w:rsidRDefault="00275B9A" w:rsidP="00275B9A">
                            <w:pPr>
                              <w:spacing w:after="0" w:line="240" w:lineRule="auto"/>
                              <w:rPr>
                                <w:rFonts w:ascii="Arial" w:hAnsi="Arial" w:cs="Arial"/>
                                <w:b/>
                                <w:i/>
                                <w:sz w:val="28"/>
                                <w:szCs w:val="32"/>
                              </w:rPr>
                            </w:pPr>
                            <w:r w:rsidRPr="00F20963">
                              <w:rPr>
                                <w:rFonts w:ascii="Arial" w:hAnsi="Arial" w:cs="Arial"/>
                                <w:b/>
                                <w:i/>
                                <w:sz w:val="28"/>
                                <w:szCs w:val="32"/>
                              </w:rPr>
                              <w:t>Indian Standard</w:t>
                            </w:r>
                          </w:p>
                          <w:p w14:paraId="69F357C0" w14:textId="77777777" w:rsidR="00275B9A" w:rsidRPr="00C536D7" w:rsidRDefault="00275B9A" w:rsidP="00275B9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3B2E1" id="_x0000_t202" coordsize="21600,21600" o:spt="202" path="m,l,21600r21600,l21600,xe">
                <v:stroke joinstyle="miter"/>
                <v:path gradientshapeok="t" o:connecttype="rect"/>
              </v:shapetype>
              <v:shape id="Text Box 9" o:spid="_x0000_s1026" type="#_x0000_t202" style="position:absolute;left:0;text-align:left;margin-left:179.05pt;margin-top:8.3pt;width:134.45pt;height:5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" strokecolor="white">
                <v:textbox>
                  <w:txbxContent>
                    <w:p w14:paraId="6D7ECD5A" w14:textId="77777777" w:rsidR="00275B9A" w:rsidRPr="00422026" w:rsidRDefault="00275B9A" w:rsidP="00275B9A">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3498EE1B" w14:textId="77777777" w:rsidR="00275B9A" w:rsidRPr="00F20963" w:rsidRDefault="00275B9A" w:rsidP="00275B9A">
                      <w:pPr>
                        <w:spacing w:after="0" w:line="240" w:lineRule="auto"/>
                        <w:rPr>
                          <w:rFonts w:ascii="Arial" w:hAnsi="Arial" w:cs="Arial"/>
                          <w:b/>
                          <w:i/>
                          <w:sz w:val="28"/>
                          <w:szCs w:val="32"/>
                        </w:rPr>
                      </w:pPr>
                      <w:r w:rsidRPr="00F20963">
                        <w:rPr>
                          <w:rFonts w:ascii="Arial" w:hAnsi="Arial" w:cs="Arial"/>
                          <w:b/>
                          <w:i/>
                          <w:sz w:val="28"/>
                          <w:szCs w:val="32"/>
                        </w:rPr>
                        <w:t>Indian Standard</w:t>
                      </w:r>
                    </w:p>
                    <w:p w14:paraId="69F357C0" w14:textId="77777777" w:rsidR="00275B9A" w:rsidRPr="00C536D7" w:rsidRDefault="00275B9A" w:rsidP="00275B9A">
                      <w:pPr>
                        <w:spacing w:after="0"/>
                        <w:rPr>
                          <w:b/>
                          <w:i/>
                        </w:rPr>
                      </w:pPr>
                    </w:p>
                  </w:txbxContent>
                </v:textbox>
              </v:shape>
            </w:pict>
          </mc:Fallback>
        </mc:AlternateContent>
      </w:r>
      <w:r w:rsidR="00275B9A">
        <w:rPr>
          <w:rFonts w:ascii="Arial" w:hAnsi="Arial" w:cs="Arial"/>
          <w:sz w:val="24"/>
        </w:rPr>
        <w:tab/>
      </w:r>
    </w:p>
    <w:p w14:paraId="08F62C0A" w14:textId="7DE7CCC4" w:rsidR="00275B9A" w:rsidRPr="003A6FB7" w:rsidRDefault="00275B9A" w:rsidP="00DF4512">
      <w:pPr>
        <w:autoSpaceDE w:val="0"/>
        <w:autoSpaceDN w:val="0"/>
        <w:adjustRightInd w:val="0"/>
        <w:spacing w:after="0" w:line="240" w:lineRule="auto"/>
        <w:ind w:left="3510" w:right="-1130" w:firstLine="2880"/>
        <w:rPr>
          <w:rFonts w:eastAsia="Times New Roman"/>
          <w:b/>
          <w:color w:val="000000"/>
          <w:sz w:val="24"/>
          <w:lang w:val="fr-FR"/>
        </w:rPr>
      </w:pPr>
      <w:r>
        <w:rPr>
          <w:rFonts w:ascii="Arial" w:eastAsia="Times New Roman" w:hAnsi="Arial" w:cs="Arial"/>
          <w:b/>
          <w:color w:val="000000"/>
          <w:sz w:val="24"/>
          <w:lang w:val="fr-FR"/>
        </w:rPr>
        <w:t xml:space="preserve">    </w:t>
      </w:r>
      <w:r>
        <w:rPr>
          <w:rFonts w:ascii="Arial" w:eastAsia="Times New Roman" w:hAnsi="Arial" w:cs="Arial"/>
          <w:b/>
          <w:color w:val="000000"/>
          <w:sz w:val="24"/>
          <w:lang w:val="fr-FR"/>
        </w:rPr>
        <w:tab/>
      </w:r>
      <w:r w:rsidR="003A6FB7">
        <w:rPr>
          <w:rFonts w:eastAsia="Times New Roman"/>
          <w:b/>
          <w:color w:val="000000"/>
          <w:sz w:val="24"/>
          <w:lang w:val="fr-FR"/>
        </w:rPr>
        <w:t>Doc. No. : PGD 39 (22132)</w:t>
      </w:r>
    </w:p>
    <w:p w14:paraId="67041E8C" w14:textId="6F085122" w:rsidR="00275B9A" w:rsidRDefault="00DF4512" w:rsidP="00275B9A">
      <w:pPr>
        <w:spacing w:after="0" w:line="240" w:lineRule="auto"/>
        <w:ind w:left="5760" w:right="-563" w:firstLine="477"/>
        <w:jc w:val="left"/>
        <w:rPr>
          <w:b/>
          <w:bCs/>
          <w:sz w:val="24"/>
        </w:rPr>
      </w:pPr>
      <w:r>
        <w:rPr>
          <w:rFonts w:ascii="Arial" w:eastAsia="Times New Roman" w:hAnsi="Arial" w:cs="Arial"/>
          <w:b/>
          <w:color w:val="000000"/>
          <w:sz w:val="24"/>
          <w:lang w:val="fr-FR"/>
        </w:rPr>
        <w:t xml:space="preserve">               </w:t>
      </w:r>
      <w:r w:rsidR="004C5E3D">
        <w:rPr>
          <w:b/>
          <w:bCs/>
          <w:sz w:val="24"/>
        </w:rPr>
        <w:t xml:space="preserve">IS </w:t>
      </w:r>
      <w:proofErr w:type="gramStart"/>
      <w:r w:rsidR="004C5E3D">
        <w:rPr>
          <w:b/>
          <w:bCs/>
          <w:sz w:val="24"/>
        </w:rPr>
        <w:t>14965</w:t>
      </w:r>
      <w:r>
        <w:rPr>
          <w:b/>
          <w:bCs/>
          <w:sz w:val="24"/>
        </w:rPr>
        <w:t xml:space="preserve"> :</w:t>
      </w:r>
      <w:proofErr w:type="gramEnd"/>
      <w:r>
        <w:rPr>
          <w:b/>
          <w:bCs/>
          <w:sz w:val="24"/>
        </w:rPr>
        <w:t xml:space="preserve"> </w:t>
      </w:r>
      <w:r w:rsidR="007F1134">
        <w:rPr>
          <w:b/>
          <w:bCs/>
          <w:sz w:val="24"/>
        </w:rPr>
        <w:t>2024</w:t>
      </w:r>
    </w:p>
    <w:p w14:paraId="2414D36D" w14:textId="52FA0936" w:rsidR="00275B9A" w:rsidRDefault="00DF4512" w:rsidP="00DF4512">
      <w:pPr>
        <w:tabs>
          <w:tab w:val="left" w:pos="7218"/>
        </w:tabs>
        <w:spacing w:after="0" w:line="240" w:lineRule="auto"/>
        <w:rPr>
          <w:rFonts w:ascii="Arial" w:hAnsi="Arial" w:cs="Arial"/>
          <w:sz w:val="24"/>
        </w:rPr>
      </w:pPr>
      <w:r>
        <w:rPr>
          <w:rFonts w:ascii="Arial" w:hAnsi="Arial" w:cs="Arial"/>
          <w:sz w:val="24"/>
        </w:rPr>
        <w:tab/>
      </w:r>
      <w:r w:rsidRPr="00612CF1">
        <w:rPr>
          <w:b/>
          <w:bCs/>
          <w:sz w:val="24"/>
        </w:rPr>
        <w:t>IS</w:t>
      </w:r>
      <w:r w:rsidR="004C5E3D">
        <w:rPr>
          <w:b/>
          <w:bCs/>
          <w:sz w:val="24"/>
        </w:rPr>
        <w:t xml:space="preserve">O </w:t>
      </w:r>
      <w:proofErr w:type="gramStart"/>
      <w:r w:rsidR="004C5E3D">
        <w:rPr>
          <w:b/>
          <w:bCs/>
          <w:sz w:val="24"/>
        </w:rPr>
        <w:t>12005</w:t>
      </w:r>
      <w:r w:rsidRPr="00612CF1">
        <w:rPr>
          <w:b/>
          <w:bCs/>
          <w:sz w:val="24"/>
        </w:rPr>
        <w:t xml:space="preserve"> :</w:t>
      </w:r>
      <w:proofErr w:type="gramEnd"/>
      <w:r w:rsidRPr="00612CF1">
        <w:rPr>
          <w:b/>
          <w:bCs/>
          <w:sz w:val="24"/>
        </w:rPr>
        <w:t xml:space="preserve"> </w:t>
      </w:r>
      <w:r w:rsidR="004C5E3D">
        <w:rPr>
          <w:b/>
          <w:bCs/>
          <w:sz w:val="24"/>
        </w:rPr>
        <w:t>2022</w:t>
      </w:r>
    </w:p>
    <w:p w14:paraId="4DFFCC05" w14:textId="77777777" w:rsidR="00275B9A" w:rsidRPr="00CF4653" w:rsidRDefault="00275B9A" w:rsidP="00275B9A">
      <w:pPr>
        <w:spacing w:after="0" w:line="240" w:lineRule="auto"/>
        <w:ind w:left="3510"/>
        <w:rPr>
          <w:rFonts w:ascii="Arial" w:hAnsi="Arial" w:cs="Arial"/>
          <w:sz w:val="24"/>
        </w:rPr>
      </w:pPr>
      <w:r>
        <w:rPr>
          <w:noProof/>
          <w:lang w:val="en-US"/>
        </w:rPr>
        <mc:AlternateContent>
          <mc:Choice Requires="wpg">
            <w:drawing>
              <wp:inline distT="0" distB="0" distL="0" distR="0" wp14:anchorId="78936B46" wp14:editId="4A875A75">
                <wp:extent cx="4030345" cy="63500"/>
                <wp:effectExtent l="0" t="0" r="27305" b="1270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2"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2D0FD6" id="Group 10"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CiGm1hrwIAALA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pnMUAAADbAAAADwAAAGRycy9kb3ducmV2LnhtbESPQWvCQBCF70L/wzKFXsRsGkVKdJXS&#10;Uq3HpkU8DtlpEszOprurif++KwjeZnhv3vdmuR5MK87kfGNZwXOSgiAurW64UvDz/TF5AeEDssbW&#10;Mim4kIf16mG0xFzbnr/oXIRKxBD2OSqoQ+hyKX1Zk0Gf2I44ar/WGQxxdZXUDvsYblqZpelcGmw4&#10;Emrs6K2m8licTIS4v3T8Pt/u+kM2s8VxM93bdqr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fpnMUAAADbAAAADwAAAAAAAAAA&#10;AAAAAAChAgAAZHJzL2Rvd25yZXYueG1sUEsFBgAAAAAEAAQA+QAAAJMDA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MB8UAAADbAAAADwAAAGRycy9kb3ducmV2LnhtbESPQWvCQBCF70L/wzKFXsRsakRKdJXS&#10;Uq3HpkU8DtlpEszOprurif++KwjeZnhv3vdmuR5MK87kfGNZwXOSgiAurW64UvDz/TF5AeEDssbW&#10;Mim4kIf16mG0xFzbnr/oXIRKxBD2OSqoQ+hyKX1Zk0Gf2I44ar/WGQxxdZXUDvsYblo5TdO5NNhw&#10;JNTY0VtN5bE4mQhxf+n4fb7d9YfpzBbHTba3babU0+PwugARaAh38+36U8f6GVx/iQP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tMB8UAAADbAAAADwAAAAAAAAAA&#10;AAAAAAChAgAAZHJzL2Rvd25yZXYueG1sUEsFBgAAAAAEAAQA+QAAAJM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LUc8QAAADbAAAADwAAAGRycy9kb3ducmV2LnhtbESPT2vCQBDF70K/wzIFL6Ib/yASXaVU&#10;bO3RtIjHITsmwexs3F1N+u27QsHbDO/N+71ZbTpTizs5X1lWMB4lIIhzqysuFPx874YLED4ga6wt&#10;k4Jf8rBZv/RWmGrb8oHuWShEDGGfooIyhCaV0uclGfQj2xBH7WydwRBXV0jtsI3hppaTJJlLgxVH&#10;QokNvZeUX7KbiRB3TQbb+edXe5rMbHb5mB5tPVWq/9q9LUEE6sLT/H+917H+DB6/xAH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AtRzxAAAANsAAAAPAAAAAAAAAAAA&#10;AAAAAKECAABkcnMvZG93bnJldi54bWxQSwUGAAAAAAQABAD5AAAAkgMAAAAA&#10;" strokecolor="#231f20" strokeweight="1pt"/>
                <w10:anchorlock/>
              </v:group>
            </w:pict>
          </mc:Fallback>
        </mc:AlternateContent>
      </w:r>
    </w:p>
    <w:p w14:paraId="6942CA55" w14:textId="77777777" w:rsidR="00275B9A" w:rsidRPr="00AE125F" w:rsidRDefault="00275B9A" w:rsidP="00275B9A">
      <w:pPr>
        <w:widowControl w:val="0"/>
        <w:tabs>
          <w:tab w:val="left" w:pos="426"/>
        </w:tabs>
        <w:autoSpaceDE w:val="0"/>
        <w:autoSpaceDN w:val="0"/>
        <w:adjustRightInd w:val="0"/>
        <w:spacing w:after="320" w:line="240" w:lineRule="auto"/>
        <w:rPr>
          <w:rFonts w:eastAsia="Times New Roman"/>
          <w:iCs/>
          <w:color w:val="222222"/>
          <w:sz w:val="24"/>
          <w:cs/>
        </w:rPr>
      </w:pP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r>
        <w:rPr>
          <w:rFonts w:ascii="Adobe Devanagari" w:eastAsia="Times New Roman" w:hAnsi="Adobe Devanagari" w:cs="Adobe Devanagari"/>
          <w:iCs/>
          <w:color w:val="222222"/>
          <w:sz w:val="12"/>
          <w:szCs w:val="12"/>
        </w:rPr>
        <w:tab/>
      </w:r>
    </w:p>
    <w:p w14:paraId="095E9044" w14:textId="55903C4F" w:rsidR="00A33946" w:rsidRDefault="00A33946" w:rsidP="00CC6E9F">
      <w:pPr>
        <w:suppressAutoHyphens/>
        <w:spacing w:after="0" w:line="240" w:lineRule="auto"/>
        <w:ind w:left="3600" w:right="-705"/>
        <w:jc w:val="center"/>
        <w:rPr>
          <w:rFonts w:ascii="Kokila" w:eastAsia="Times New Roman" w:hAnsi="Kokila" w:cs="Kokila"/>
          <w:bCs/>
          <w:sz w:val="52"/>
          <w:szCs w:val="52"/>
          <w:lang w:eastAsia="zh-CN"/>
        </w:rPr>
      </w:pPr>
      <w:r w:rsidRPr="00A33946">
        <w:rPr>
          <w:rFonts w:ascii="Kokila" w:eastAsia="Times New Roman" w:hAnsi="Kokila" w:cs="Kokila" w:hint="cs"/>
          <w:bCs/>
          <w:sz w:val="52"/>
          <w:szCs w:val="52"/>
          <w:cs/>
          <w:lang w:eastAsia="zh-CN"/>
        </w:rPr>
        <w:t>लेजर</w:t>
      </w:r>
      <w:r w:rsidRPr="00A33946">
        <w:rPr>
          <w:rFonts w:ascii="Kokila" w:eastAsia="Times New Roman" w:hAnsi="Kokila" w:cs="Kokila"/>
          <w:bCs/>
          <w:sz w:val="52"/>
          <w:szCs w:val="52"/>
          <w:cs/>
          <w:lang w:eastAsia="zh-CN"/>
        </w:rPr>
        <w:t xml:space="preserve"> </w:t>
      </w:r>
      <w:r w:rsidRPr="00A33946">
        <w:rPr>
          <w:rFonts w:ascii="Kokila" w:eastAsia="Times New Roman" w:hAnsi="Kokila" w:cs="Kokila" w:hint="cs"/>
          <w:bCs/>
          <w:sz w:val="52"/>
          <w:szCs w:val="52"/>
          <w:cs/>
          <w:lang w:eastAsia="zh-CN"/>
        </w:rPr>
        <w:t>एवं</w:t>
      </w:r>
      <w:r w:rsidRPr="00A33946">
        <w:rPr>
          <w:rFonts w:ascii="Kokila" w:eastAsia="Times New Roman" w:hAnsi="Kokila" w:cs="Kokila"/>
          <w:bCs/>
          <w:sz w:val="52"/>
          <w:szCs w:val="52"/>
          <w:cs/>
          <w:lang w:eastAsia="zh-CN"/>
        </w:rPr>
        <w:t xml:space="preserve"> </w:t>
      </w:r>
      <w:r w:rsidRPr="00A33946">
        <w:rPr>
          <w:rFonts w:ascii="Kokila" w:eastAsia="Times New Roman" w:hAnsi="Kokila" w:cs="Kokila" w:hint="cs"/>
          <w:bCs/>
          <w:sz w:val="52"/>
          <w:szCs w:val="52"/>
          <w:cs/>
          <w:lang w:eastAsia="zh-CN"/>
        </w:rPr>
        <w:t>लेजर</w:t>
      </w:r>
      <w:r w:rsidRPr="00A33946">
        <w:rPr>
          <w:rFonts w:ascii="Kokila" w:eastAsia="Times New Roman" w:hAnsi="Kokila" w:cs="Kokila"/>
          <w:bCs/>
          <w:sz w:val="52"/>
          <w:szCs w:val="52"/>
          <w:cs/>
          <w:lang w:eastAsia="zh-CN"/>
        </w:rPr>
        <w:t xml:space="preserve"> </w:t>
      </w:r>
      <w:r w:rsidRPr="00A33946">
        <w:rPr>
          <w:rFonts w:ascii="Kokila" w:eastAsia="Times New Roman" w:hAnsi="Kokila" w:cs="Kokila" w:hint="cs"/>
          <w:bCs/>
          <w:sz w:val="52"/>
          <w:szCs w:val="52"/>
          <w:cs/>
          <w:lang w:eastAsia="zh-CN"/>
        </w:rPr>
        <w:t>संबंधित</w:t>
      </w:r>
      <w:r w:rsidRPr="00A33946">
        <w:rPr>
          <w:rFonts w:ascii="Kokila" w:eastAsia="Times New Roman" w:hAnsi="Kokila" w:cs="Kokila"/>
          <w:bCs/>
          <w:sz w:val="52"/>
          <w:szCs w:val="52"/>
          <w:cs/>
          <w:lang w:eastAsia="zh-CN"/>
        </w:rPr>
        <w:t xml:space="preserve"> </w:t>
      </w:r>
      <w:r w:rsidRPr="00A33946">
        <w:rPr>
          <w:rFonts w:ascii="Kokila" w:eastAsia="Times New Roman" w:hAnsi="Kokila" w:cs="Kokila" w:hint="cs"/>
          <w:bCs/>
          <w:sz w:val="52"/>
          <w:szCs w:val="52"/>
          <w:cs/>
          <w:lang w:eastAsia="zh-CN"/>
        </w:rPr>
        <w:t>उपकरण</w:t>
      </w:r>
      <w:r w:rsidRPr="00A33946">
        <w:rPr>
          <w:rFonts w:ascii="Kokila" w:eastAsia="Times New Roman" w:hAnsi="Kokila" w:cs="Kokila"/>
          <w:bCs/>
          <w:sz w:val="52"/>
          <w:szCs w:val="52"/>
          <w:cs/>
          <w:lang w:eastAsia="zh-CN"/>
        </w:rPr>
        <w:t xml:space="preserve"> — </w:t>
      </w:r>
      <w:r w:rsidRPr="00A33946">
        <w:rPr>
          <w:rFonts w:ascii="Kokila" w:eastAsia="Times New Roman" w:hAnsi="Kokila" w:cs="Kokila" w:hint="cs"/>
          <w:bCs/>
          <w:sz w:val="52"/>
          <w:szCs w:val="52"/>
          <w:cs/>
          <w:lang w:eastAsia="zh-CN"/>
        </w:rPr>
        <w:t>लेजर</w:t>
      </w:r>
      <w:r w:rsidRPr="00A33946">
        <w:rPr>
          <w:rFonts w:ascii="Kokila" w:eastAsia="Times New Roman" w:hAnsi="Kokila" w:cs="Kokila"/>
          <w:bCs/>
          <w:sz w:val="52"/>
          <w:szCs w:val="52"/>
          <w:cs/>
          <w:lang w:eastAsia="zh-CN"/>
        </w:rPr>
        <w:t xml:space="preserve"> </w:t>
      </w:r>
      <w:r w:rsidRPr="00A33946">
        <w:rPr>
          <w:rFonts w:ascii="Kokila" w:eastAsia="Times New Roman" w:hAnsi="Kokila" w:cs="Kokila" w:hint="cs"/>
          <w:bCs/>
          <w:sz w:val="52"/>
          <w:szCs w:val="52"/>
          <w:cs/>
          <w:lang w:eastAsia="zh-CN"/>
        </w:rPr>
        <w:t>बीम</w:t>
      </w:r>
      <w:r w:rsidRPr="00A33946">
        <w:rPr>
          <w:rFonts w:ascii="Kokila" w:eastAsia="Times New Roman" w:hAnsi="Kokila" w:cs="Kokila"/>
          <w:bCs/>
          <w:sz w:val="52"/>
          <w:szCs w:val="52"/>
          <w:cs/>
          <w:lang w:eastAsia="zh-CN"/>
        </w:rPr>
        <w:t xml:space="preserve"> </w:t>
      </w:r>
      <w:r w:rsidRPr="00A33946">
        <w:rPr>
          <w:rFonts w:ascii="Kokila" w:eastAsia="Times New Roman" w:hAnsi="Kokila" w:cs="Kokila" w:hint="cs"/>
          <w:bCs/>
          <w:sz w:val="52"/>
          <w:szCs w:val="52"/>
          <w:cs/>
          <w:lang w:eastAsia="zh-CN"/>
        </w:rPr>
        <w:t>मापदंडो</w:t>
      </w:r>
      <w:r w:rsidRPr="00A33946">
        <w:rPr>
          <w:rFonts w:ascii="Kokila" w:eastAsia="Times New Roman" w:hAnsi="Kokila" w:cs="Kokila"/>
          <w:bCs/>
          <w:sz w:val="52"/>
          <w:szCs w:val="52"/>
          <w:cs/>
          <w:lang w:eastAsia="zh-CN"/>
        </w:rPr>
        <w:t xml:space="preserve"> </w:t>
      </w:r>
      <w:r w:rsidRPr="00A33946">
        <w:rPr>
          <w:rFonts w:ascii="Kokila" w:eastAsia="Times New Roman" w:hAnsi="Kokila" w:cs="Kokila" w:hint="cs"/>
          <w:bCs/>
          <w:sz w:val="52"/>
          <w:szCs w:val="52"/>
          <w:cs/>
          <w:lang w:eastAsia="zh-CN"/>
        </w:rPr>
        <w:t>के</w:t>
      </w:r>
      <w:r w:rsidRPr="00A33946">
        <w:rPr>
          <w:rFonts w:ascii="Kokila" w:eastAsia="Times New Roman" w:hAnsi="Kokila" w:cs="Kokila"/>
          <w:bCs/>
          <w:sz w:val="52"/>
          <w:szCs w:val="52"/>
          <w:cs/>
          <w:lang w:eastAsia="zh-CN"/>
        </w:rPr>
        <w:t xml:space="preserve"> </w:t>
      </w:r>
      <w:r w:rsidRPr="00A33946">
        <w:rPr>
          <w:rFonts w:ascii="Kokila" w:eastAsia="Times New Roman" w:hAnsi="Kokila" w:cs="Kokila" w:hint="cs"/>
          <w:bCs/>
          <w:sz w:val="52"/>
          <w:szCs w:val="52"/>
          <w:cs/>
          <w:lang w:eastAsia="zh-CN"/>
        </w:rPr>
        <w:t>परीक्षण</w:t>
      </w:r>
      <w:r w:rsidRPr="00A33946">
        <w:rPr>
          <w:rFonts w:ascii="Kokila" w:eastAsia="Times New Roman" w:hAnsi="Kokila" w:cs="Kokila"/>
          <w:bCs/>
          <w:sz w:val="52"/>
          <w:szCs w:val="52"/>
          <w:cs/>
          <w:lang w:eastAsia="zh-CN"/>
        </w:rPr>
        <w:t xml:space="preserve"> </w:t>
      </w:r>
      <w:r w:rsidRPr="00A33946">
        <w:rPr>
          <w:rFonts w:ascii="Kokila" w:eastAsia="Times New Roman" w:hAnsi="Kokila" w:cs="Kokila" w:hint="cs"/>
          <w:bCs/>
          <w:sz w:val="52"/>
          <w:szCs w:val="52"/>
          <w:cs/>
          <w:lang w:eastAsia="zh-CN"/>
        </w:rPr>
        <w:t>की</w:t>
      </w:r>
      <w:r w:rsidRPr="00A33946">
        <w:rPr>
          <w:rFonts w:ascii="Kokila" w:eastAsia="Times New Roman" w:hAnsi="Kokila" w:cs="Kokila"/>
          <w:bCs/>
          <w:sz w:val="52"/>
          <w:szCs w:val="52"/>
          <w:cs/>
          <w:lang w:eastAsia="zh-CN"/>
        </w:rPr>
        <w:t xml:space="preserve"> </w:t>
      </w:r>
      <w:r w:rsidRPr="00A33946">
        <w:rPr>
          <w:rFonts w:ascii="Kokila" w:eastAsia="Times New Roman" w:hAnsi="Kokila" w:cs="Kokila" w:hint="cs"/>
          <w:bCs/>
          <w:sz w:val="52"/>
          <w:szCs w:val="52"/>
          <w:cs/>
          <w:lang w:eastAsia="zh-CN"/>
        </w:rPr>
        <w:t>पद्धतियाँ</w:t>
      </w:r>
      <w:r w:rsidRPr="00A33946">
        <w:rPr>
          <w:rFonts w:ascii="Kokila" w:eastAsia="Times New Roman" w:hAnsi="Kokila" w:cs="Kokila"/>
          <w:bCs/>
          <w:sz w:val="52"/>
          <w:szCs w:val="52"/>
          <w:cs/>
          <w:lang w:eastAsia="zh-CN"/>
        </w:rPr>
        <w:t xml:space="preserve">  —  </w:t>
      </w:r>
      <w:r w:rsidRPr="00A33946">
        <w:rPr>
          <w:rFonts w:ascii="Kokila" w:eastAsia="Times New Roman" w:hAnsi="Kokila" w:cs="Kokila" w:hint="cs"/>
          <w:bCs/>
          <w:sz w:val="52"/>
          <w:szCs w:val="52"/>
          <w:cs/>
          <w:lang w:eastAsia="zh-CN"/>
        </w:rPr>
        <w:t>ध्रुवीकरण</w:t>
      </w:r>
    </w:p>
    <w:p w14:paraId="19668EAC" w14:textId="09EA8E20" w:rsidR="00807FFD" w:rsidRPr="00807FFD" w:rsidRDefault="00807FFD" w:rsidP="00CC6E9F">
      <w:pPr>
        <w:suppressAutoHyphens/>
        <w:spacing w:after="0" w:line="240" w:lineRule="auto"/>
        <w:ind w:left="3600" w:right="-705"/>
        <w:jc w:val="center"/>
        <w:rPr>
          <w:rFonts w:ascii="Kokila" w:eastAsia="Times New Roman" w:hAnsi="Kokila" w:cs="Kokila"/>
          <w:b/>
          <w:i/>
          <w:iCs/>
          <w:sz w:val="40"/>
          <w:szCs w:val="40"/>
          <w:lang w:eastAsia="zh-CN"/>
        </w:rPr>
      </w:pPr>
      <w:proofErr w:type="gramStart"/>
      <w:r w:rsidRPr="00C55077">
        <w:rPr>
          <w:rFonts w:ascii="Kokila" w:eastAsia="Times New Roman" w:hAnsi="Kokila" w:cs="Kokila"/>
          <w:bCs/>
          <w:sz w:val="40"/>
          <w:szCs w:val="40"/>
          <w:lang w:eastAsia="zh-CN"/>
        </w:rPr>
        <w:t>(</w:t>
      </w:r>
      <w:r w:rsidR="00765BB7">
        <w:rPr>
          <w:rFonts w:ascii="Kokila" w:eastAsia="Times New Roman" w:hAnsi="Kokila" w:cs="Kokila"/>
          <w:b/>
          <w:i/>
          <w:iCs/>
          <w:sz w:val="40"/>
          <w:szCs w:val="40"/>
          <w:lang w:eastAsia="zh-CN"/>
        </w:rPr>
        <w:t xml:space="preserve"> </w:t>
      </w:r>
      <w:r w:rsidR="00765BB7" w:rsidRPr="00765BB7">
        <w:rPr>
          <w:rFonts w:ascii="Kokila" w:eastAsia="Times New Roman" w:hAnsi="Kokila" w:cs="Kokila" w:hint="cs"/>
          <w:b/>
          <w:i/>
          <w:iCs/>
          <w:sz w:val="40"/>
          <w:szCs w:val="40"/>
          <w:cs/>
          <w:lang w:eastAsia="zh-CN"/>
        </w:rPr>
        <w:t xml:space="preserve"> </w:t>
      </w:r>
      <w:r w:rsidR="00765227" w:rsidRPr="00765227">
        <w:rPr>
          <w:rFonts w:ascii="Kokila" w:eastAsia="Times New Roman" w:hAnsi="Kokila" w:cs="Kokila" w:hint="cs"/>
          <w:b/>
          <w:i/>
          <w:iCs/>
          <w:sz w:val="40"/>
          <w:szCs w:val="40"/>
          <w:cs/>
          <w:lang w:eastAsia="zh-CN"/>
        </w:rPr>
        <w:t>दूसरा</w:t>
      </w:r>
      <w:proofErr w:type="gramEnd"/>
      <w:r w:rsidR="00765227">
        <w:rPr>
          <w:rFonts w:ascii="Kokila" w:eastAsia="Times New Roman" w:hAnsi="Kokila" w:cs="Kokila"/>
          <w:b/>
          <w:i/>
          <w:iCs/>
          <w:sz w:val="40"/>
          <w:szCs w:val="40"/>
          <w:lang w:eastAsia="zh-CN"/>
        </w:rPr>
        <w:t xml:space="preserve"> </w:t>
      </w:r>
      <w:r w:rsidRPr="00807FFD">
        <w:rPr>
          <w:rFonts w:ascii="Kokila" w:eastAsia="Times New Roman" w:hAnsi="Kokila" w:cs="Kokila" w:hint="cs"/>
          <w:b/>
          <w:i/>
          <w:iCs/>
          <w:sz w:val="40"/>
          <w:szCs w:val="40"/>
          <w:cs/>
          <w:lang w:eastAsia="zh-CN"/>
        </w:rPr>
        <w:t>पुनरीक्षण</w:t>
      </w:r>
      <w:r w:rsidR="00765BB7" w:rsidRPr="00C55077">
        <w:rPr>
          <w:rFonts w:ascii="Kokila" w:eastAsia="Times New Roman" w:hAnsi="Kokila" w:cs="Kokila"/>
          <w:bCs/>
          <w:sz w:val="40"/>
          <w:szCs w:val="40"/>
          <w:lang w:eastAsia="zh-CN"/>
        </w:rPr>
        <w:t xml:space="preserve"> </w:t>
      </w:r>
      <w:r w:rsidRPr="00C55077">
        <w:rPr>
          <w:rFonts w:ascii="Kokila" w:eastAsia="Times New Roman" w:hAnsi="Kokila" w:cs="Kokila"/>
          <w:bCs/>
          <w:sz w:val="40"/>
          <w:szCs w:val="40"/>
          <w:lang w:eastAsia="zh-CN"/>
        </w:rPr>
        <w:t>)</w:t>
      </w:r>
    </w:p>
    <w:p w14:paraId="2A247FD9" w14:textId="731EA101" w:rsidR="00275B9A" w:rsidRPr="0061633F" w:rsidRDefault="00275B9A" w:rsidP="00807FFD">
      <w:pPr>
        <w:suppressAutoHyphens/>
        <w:spacing w:after="400" w:line="240" w:lineRule="auto"/>
        <w:ind w:right="-703"/>
        <w:rPr>
          <w:rFonts w:ascii="Kokila" w:eastAsia="Times New Roman" w:hAnsi="Kokila" w:cs="Kokila"/>
          <w:b/>
          <w:sz w:val="52"/>
          <w:szCs w:val="52"/>
          <w:lang w:eastAsia="zh-CN"/>
        </w:rPr>
      </w:pPr>
    </w:p>
    <w:p w14:paraId="21ECDA48" w14:textId="17EAAB95" w:rsidR="00C55077" w:rsidRDefault="00CC6E9F" w:rsidP="00C55077">
      <w:pPr>
        <w:pStyle w:val="PlainText"/>
        <w:ind w:left="3600" w:right="-563" w:hanging="56"/>
        <w:jc w:val="center"/>
        <w:rPr>
          <w:rFonts w:ascii="Arial" w:eastAsia="Verdana" w:hAnsi="Arial" w:cs="Arial"/>
          <w:b/>
          <w:sz w:val="36"/>
          <w:szCs w:val="36"/>
        </w:rPr>
      </w:pPr>
      <w:r w:rsidRPr="00CC6E9F">
        <w:rPr>
          <w:rFonts w:ascii="Arial" w:eastAsia="Verdana" w:hAnsi="Arial" w:cs="Arial"/>
          <w:b/>
          <w:sz w:val="36"/>
          <w:szCs w:val="36"/>
        </w:rPr>
        <w:t>Lasers and Laser-related Equipment — Test Methods for Laser Beam</w:t>
      </w:r>
      <w:r>
        <w:rPr>
          <w:rFonts w:ascii="Arial" w:eastAsia="Verdana" w:hAnsi="Arial" w:cs="Arial"/>
          <w:b/>
          <w:sz w:val="36"/>
          <w:szCs w:val="36"/>
        </w:rPr>
        <w:t xml:space="preserve"> </w:t>
      </w:r>
      <w:r w:rsidRPr="00CC6E9F">
        <w:rPr>
          <w:rFonts w:ascii="Arial" w:eastAsia="Verdana" w:hAnsi="Arial" w:cs="Arial"/>
          <w:b/>
          <w:sz w:val="36"/>
          <w:szCs w:val="36"/>
        </w:rPr>
        <w:t>Parameters — Polarization</w:t>
      </w:r>
    </w:p>
    <w:p w14:paraId="2B12500A" w14:textId="77777777" w:rsidR="00C55077" w:rsidRDefault="00C55077" w:rsidP="00C55077">
      <w:pPr>
        <w:pStyle w:val="PlainText"/>
        <w:ind w:left="3600" w:right="-563" w:hanging="56"/>
        <w:jc w:val="center"/>
        <w:rPr>
          <w:rFonts w:ascii="Arial" w:eastAsia="Verdana" w:hAnsi="Arial" w:cs="Arial"/>
          <w:b/>
          <w:sz w:val="36"/>
          <w:szCs w:val="36"/>
        </w:rPr>
      </w:pPr>
    </w:p>
    <w:p w14:paraId="3B01C8E8" w14:textId="54014CB5" w:rsidR="00807FFD" w:rsidRPr="00807FFD" w:rsidRDefault="00765227" w:rsidP="00C55077">
      <w:pPr>
        <w:pStyle w:val="PlainText"/>
        <w:ind w:left="3600" w:firstLine="653"/>
        <w:jc w:val="center"/>
        <w:rPr>
          <w:rFonts w:ascii="Arial" w:eastAsia="Verdana" w:hAnsi="Arial" w:cs="Arial"/>
          <w:bCs/>
          <w:i/>
          <w:iCs/>
          <w:sz w:val="28"/>
          <w:szCs w:val="28"/>
        </w:rPr>
      </w:pPr>
      <w:r w:rsidRPr="00C55077">
        <w:rPr>
          <w:rFonts w:ascii="Arial" w:eastAsia="Verdana" w:hAnsi="Arial" w:cs="Arial"/>
          <w:bCs/>
          <w:sz w:val="28"/>
          <w:szCs w:val="28"/>
        </w:rPr>
        <w:t>(</w:t>
      </w:r>
      <w:r>
        <w:rPr>
          <w:rFonts w:ascii="Arial" w:eastAsia="Verdana" w:hAnsi="Arial" w:cs="Arial"/>
          <w:bCs/>
          <w:i/>
          <w:iCs/>
          <w:sz w:val="28"/>
          <w:szCs w:val="28"/>
        </w:rPr>
        <w:t xml:space="preserve"> Second</w:t>
      </w:r>
      <w:r w:rsidR="00807FFD" w:rsidRPr="00807FFD">
        <w:rPr>
          <w:rFonts w:ascii="Arial" w:eastAsia="Verdana" w:hAnsi="Arial" w:cs="Arial"/>
          <w:bCs/>
          <w:i/>
          <w:iCs/>
          <w:sz w:val="28"/>
          <w:szCs w:val="28"/>
        </w:rPr>
        <w:t xml:space="preserve"> Revision</w:t>
      </w:r>
      <w:r w:rsidR="00765BB7">
        <w:rPr>
          <w:rFonts w:ascii="Arial" w:eastAsia="Verdana" w:hAnsi="Arial" w:cs="Arial"/>
          <w:bCs/>
          <w:i/>
          <w:iCs/>
          <w:sz w:val="28"/>
          <w:szCs w:val="28"/>
        </w:rPr>
        <w:t xml:space="preserve"> </w:t>
      </w:r>
      <w:r w:rsidR="00807FFD" w:rsidRPr="00C55077">
        <w:rPr>
          <w:rFonts w:ascii="Arial" w:eastAsia="Verdana" w:hAnsi="Arial" w:cs="Arial"/>
          <w:bCs/>
          <w:sz w:val="28"/>
          <w:szCs w:val="28"/>
        </w:rPr>
        <w:t>)</w:t>
      </w:r>
    </w:p>
    <w:p w14:paraId="3B03A4D0" w14:textId="77777777" w:rsidR="00275B9A" w:rsidRDefault="00275B9A" w:rsidP="00275B9A">
      <w:pPr>
        <w:pStyle w:val="PlainText"/>
        <w:rPr>
          <w:rFonts w:ascii="Arial" w:eastAsia="PMingLiU" w:hAnsi="Arial" w:cs="Arial"/>
          <w:sz w:val="24"/>
          <w:szCs w:val="24"/>
          <w:lang w:eastAsia="zh-TW"/>
        </w:rPr>
      </w:pPr>
    </w:p>
    <w:p w14:paraId="053D8D4A" w14:textId="48737D80" w:rsidR="00275B9A" w:rsidRPr="00CF4653" w:rsidRDefault="00CC6E9F" w:rsidP="006B1723">
      <w:pPr>
        <w:pStyle w:val="PlainText"/>
        <w:spacing w:line="1200" w:lineRule="auto"/>
        <w:ind w:firstLine="4248"/>
        <w:jc w:val="center"/>
        <w:rPr>
          <w:rFonts w:ascii="Arial" w:hAnsi="Arial" w:cs="Arial"/>
          <w:sz w:val="24"/>
          <w:szCs w:val="24"/>
        </w:rPr>
      </w:pPr>
      <w:r>
        <w:rPr>
          <w:rFonts w:ascii="Arial" w:eastAsia="PMingLiU" w:hAnsi="Arial" w:cs="Arial"/>
          <w:bCs/>
          <w:sz w:val="24"/>
          <w:szCs w:val="24"/>
          <w:lang w:eastAsia="zh-TW"/>
        </w:rPr>
        <w:t>ICS 31.260</w:t>
      </w:r>
    </w:p>
    <w:p w14:paraId="3ADA4119" w14:textId="2B3AF4C0" w:rsidR="00275B9A" w:rsidRPr="00CF4653" w:rsidRDefault="00275B9A" w:rsidP="006B1723">
      <w:pPr>
        <w:spacing w:after="240" w:line="240" w:lineRule="auto"/>
        <w:ind w:left="3514" w:firstLine="749"/>
        <w:jc w:val="center"/>
        <w:rPr>
          <w:rFonts w:ascii="Arial" w:hAnsi="Arial" w:cs="Arial"/>
          <w:sz w:val="24"/>
        </w:rPr>
      </w:pPr>
      <w:r w:rsidRPr="004E2754">
        <w:rPr>
          <w:rFonts w:ascii="Arial" w:hAnsi="Arial" w:cs="Arial"/>
          <w:sz w:val="24"/>
        </w:rPr>
        <w:sym w:font="Symbol" w:char="00D3"/>
      </w:r>
      <w:r w:rsidRPr="004E2754">
        <w:rPr>
          <w:rFonts w:ascii="Arial" w:hAnsi="Arial" w:cs="Arial"/>
          <w:sz w:val="24"/>
        </w:rPr>
        <w:t xml:space="preserve"> BIS 202</w:t>
      </w:r>
      <w:r w:rsidR="0008758A">
        <w:rPr>
          <w:rFonts w:ascii="Arial" w:hAnsi="Arial" w:cs="Arial"/>
          <w:sz w:val="24"/>
        </w:rPr>
        <w:t>4</w:t>
      </w:r>
    </w:p>
    <w:p w14:paraId="620020CA" w14:textId="77777777" w:rsidR="00275B9A" w:rsidRPr="00CF4653" w:rsidRDefault="00275B9A" w:rsidP="00275B9A">
      <w:pPr>
        <w:spacing w:after="0" w:line="240" w:lineRule="auto"/>
        <w:ind w:left="3510"/>
        <w:jc w:val="center"/>
        <w:rPr>
          <w:rFonts w:ascii="Arial" w:hAnsi="Arial" w:cs="Arial"/>
          <w:sz w:val="24"/>
        </w:rPr>
      </w:pPr>
      <w:r>
        <w:rPr>
          <w:noProof/>
          <w:lang w:val="en-US"/>
        </w:rPr>
        <mc:AlternateContent>
          <mc:Choice Requires="wpg">
            <w:drawing>
              <wp:inline distT="0" distB="0" distL="0" distR="0" wp14:anchorId="45A6286C" wp14:editId="1269A2FC">
                <wp:extent cx="4030345" cy="63500"/>
                <wp:effectExtent l="0" t="0" r="27305" b="1270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16"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980DF3" id="Group 15"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zvn8QAAADbAAAADwAAAGRycy9kb3ducmV2LnhtbESPQWvCQBCF70L/wzKFXqRu1BIkukpR&#10;qvbYVIrHITtNgtnZuLua+O/dQsHbDO/N+94sVr1pxJWcry0rGI8SEMSF1TWXCg7fH68zED4ga2ws&#10;k4IbeVgtnwYLzLTt+IuueShFDGGfoYIqhDaT0hcVGfQj2xJH7dc6gyGurpTaYRfDTSMnSZJKgzVH&#10;QoUtrSsqTvnFRIg7J8NNuvvsjpM3m5+20x/bTJV6ee7f5yAC9eFh/r/e61g/hb9f4gB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nO+fxAAAANs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BKBMQAAADbAAAADwAAAGRycy9kb3ducmV2LnhtbESPQWvCQBCF74L/YRnBi+imWrSkrlIU&#10;az02FelxyE6TYHY27q4m/fduoeBthvfmfW+W687U4kbOV5YVPE0SEMS51RUXCo5fu/ELCB+QNdaW&#10;ScEveViv+r0lptq2/Em3LBQihrBPUUEZQpNK6fOSDPqJbYij9mOdwRBXV0jtsI3hppbTJJlLgxVH&#10;QokNbUrKz9nVRIi7JKPtfH9ov6fPNju/z062nik1HHRvryACdeFh/r/+0LH+Av5+iQP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0EoExAAAANsAAAAPAAAAAAAAAAAA&#10;AAAAAKECAABkcnMvZG93bnJldi54bWxQSwUGAAAAAAQABAD5AAAAkgM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edsQAAADbAAAADwAAAGRycy9kb3ducmV2LnhtbESPTWvCQBCG74X+h2UKXkrdqEVK6ipi&#10;qdpjo5Qeh+w0CWZn4+5q0n/fOQi9zTDvxzOL1eBadaUQG88GJuMMFHHpbcOVgePh/ekFVEzIFlvP&#10;ZOCXIqyW93cLzK3v+ZOuRaqUhHDM0UCdUpdrHcuaHMax74jl9uODwyRrqLQN2Eu4a/U0y+baYcPS&#10;UGNHm5rKU3FxUhLO2ePbfPfRf0+ffXHazr58OzNm9DCsX0ElGtK/+ObeW8EXWPlFBt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952xAAAANsAAAAPAAAAAAAAAAAA&#10;AAAAAKECAABkcnMvZG93bnJldi54bWxQSwUGAAAAAAQABAD5AAAAkgMAAAAA&#10;" strokecolor="#231f20" strokeweight="1pt"/>
                <w10:anchorlock/>
              </v:group>
            </w:pict>
          </mc:Fallback>
        </mc:AlternateContent>
      </w:r>
    </w:p>
    <w:p w14:paraId="39F6D4E0" w14:textId="77777777" w:rsidR="00275B9A" w:rsidRPr="00CF4653" w:rsidRDefault="00275B9A" w:rsidP="00275B9A">
      <w:pPr>
        <w:spacing w:after="0" w:line="240" w:lineRule="auto"/>
        <w:rPr>
          <w:rFonts w:ascii="Arial" w:hAnsi="Arial" w:cs="Arial"/>
          <w:sz w:val="24"/>
        </w:rPr>
      </w:pPr>
    </w:p>
    <w:p w14:paraId="4D517A01" w14:textId="77777777" w:rsidR="00275B9A" w:rsidRPr="00436183" w:rsidRDefault="00B33560" w:rsidP="00275B9A">
      <w:pPr>
        <w:spacing w:after="0" w:line="240" w:lineRule="auto"/>
        <w:ind w:left="4867"/>
        <w:jc w:val="center"/>
        <w:rPr>
          <w:rFonts w:ascii="Kokila" w:hAnsi="Kokila" w:cs="Kokila"/>
          <w:b/>
          <w:bCs/>
          <w:caps/>
          <w:sz w:val="28"/>
          <w:szCs w:val="28"/>
        </w:rPr>
      </w:pPr>
      <w:r>
        <w:rPr>
          <w:rFonts w:ascii="Kokila" w:hAnsi="Kokila" w:cs="Kokila"/>
          <w:sz w:val="28"/>
          <w:szCs w:val="28"/>
        </w:rPr>
        <w:object w:dxaOrig="1440" w:dyaOrig="1440" w14:anchorId="2FD66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75.1pt;margin-top:5pt;width:59.7pt;height:59.7pt;z-index:251662336" o:allowincell="f">
            <v:imagedata r:id="rId8" o:title=""/>
          </v:shape>
          <o:OLEObject Type="Embed" ProgID="MSPhotoEd.3" ShapeID="_x0000_s1028" DrawAspect="Content" ObjectID="_1771050593" r:id="rId9"/>
        </w:object>
      </w:r>
      <w:r w:rsidR="00275B9A" w:rsidRPr="00436183">
        <w:rPr>
          <w:rFonts w:ascii="Kokila" w:hAnsi="Kokila" w:cs="Kokila"/>
          <w:caps/>
          <w:sz w:val="28"/>
          <w:szCs w:val="28"/>
          <w:cs/>
        </w:rPr>
        <w:t>भारतीय मानक ब्यूरो</w:t>
      </w:r>
    </w:p>
    <w:p w14:paraId="49C25007" w14:textId="77777777" w:rsidR="00275B9A" w:rsidRPr="00436183" w:rsidRDefault="00275B9A" w:rsidP="00275B9A">
      <w:pPr>
        <w:autoSpaceDE w:val="0"/>
        <w:autoSpaceDN w:val="0"/>
        <w:adjustRightInd w:val="0"/>
        <w:spacing w:after="0" w:line="240" w:lineRule="auto"/>
        <w:ind w:left="4867"/>
        <w:jc w:val="center"/>
        <w:rPr>
          <w:rFonts w:ascii="Arial" w:hAnsi="Arial" w:cs="Arial"/>
          <w:bCs/>
          <w:color w:val="231F20"/>
          <w:spacing w:val="22"/>
          <w:sz w:val="24"/>
        </w:rPr>
      </w:pPr>
      <w:r w:rsidRPr="00436183">
        <w:rPr>
          <w:rFonts w:ascii="Arial" w:hAnsi="Arial" w:cs="Arial"/>
          <w:bCs/>
          <w:color w:val="231F20"/>
          <w:spacing w:val="22"/>
          <w:sz w:val="24"/>
        </w:rPr>
        <w:t>BUREAU OF INDIAN STANDARDS</w:t>
      </w:r>
    </w:p>
    <w:p w14:paraId="3E850A50" w14:textId="77777777" w:rsidR="00275B9A" w:rsidRPr="00436183" w:rsidRDefault="00275B9A" w:rsidP="00275B9A">
      <w:pPr>
        <w:spacing w:after="0" w:line="240" w:lineRule="auto"/>
        <w:ind w:left="4867"/>
        <w:jc w:val="center"/>
        <w:rPr>
          <w:rFonts w:ascii="Arial" w:hAnsi="Arial" w:cs="Arial"/>
          <w:b/>
          <w:bCs/>
          <w:color w:val="231F20"/>
          <w:spacing w:val="22"/>
          <w:sz w:val="24"/>
        </w:rPr>
      </w:pPr>
      <w:r w:rsidRPr="00436183">
        <w:rPr>
          <w:rFonts w:ascii="Mangal" w:hAnsi="Mangal" w:cs="Mangal" w:hint="cs"/>
          <w:caps/>
          <w:sz w:val="24"/>
          <w:cs/>
        </w:rPr>
        <w:t>मानक</w:t>
      </w:r>
      <w:r w:rsidRPr="00436183">
        <w:rPr>
          <w:rFonts w:ascii="Arial" w:hAnsi="Arial" w:cs="Arial"/>
          <w:caps/>
          <w:sz w:val="24"/>
          <w:cs/>
        </w:rPr>
        <w:t xml:space="preserve"> </w:t>
      </w:r>
      <w:r w:rsidRPr="00436183">
        <w:rPr>
          <w:rFonts w:ascii="Mangal" w:hAnsi="Mangal" w:cs="Mangal" w:hint="cs"/>
          <w:caps/>
          <w:sz w:val="24"/>
          <w:cs/>
        </w:rPr>
        <w:t>भवन</w:t>
      </w:r>
      <w:r w:rsidRPr="00436183">
        <w:rPr>
          <w:rFonts w:ascii="Arial" w:hAnsi="Arial" w:cs="Arial"/>
          <w:caps/>
          <w:sz w:val="24"/>
        </w:rPr>
        <w:t xml:space="preserve">, 9 </w:t>
      </w:r>
      <w:r w:rsidRPr="00436183">
        <w:rPr>
          <w:rFonts w:ascii="Mangal" w:hAnsi="Mangal" w:cs="Mangal" w:hint="cs"/>
          <w:caps/>
          <w:sz w:val="24"/>
          <w:cs/>
        </w:rPr>
        <w:t>बहादुर</w:t>
      </w:r>
      <w:r w:rsidRPr="00436183">
        <w:rPr>
          <w:rFonts w:ascii="Arial" w:hAnsi="Arial" w:cs="Arial"/>
          <w:caps/>
          <w:sz w:val="24"/>
          <w:cs/>
        </w:rPr>
        <w:t xml:space="preserve"> </w:t>
      </w:r>
      <w:r w:rsidRPr="00436183">
        <w:rPr>
          <w:rFonts w:ascii="Mangal" w:hAnsi="Mangal" w:cs="Mangal" w:hint="cs"/>
          <w:caps/>
          <w:sz w:val="24"/>
          <w:cs/>
        </w:rPr>
        <w:t>शाह</w:t>
      </w:r>
      <w:r w:rsidRPr="00436183">
        <w:rPr>
          <w:rFonts w:ascii="Arial" w:hAnsi="Arial" w:cs="Arial"/>
          <w:caps/>
          <w:sz w:val="24"/>
          <w:cs/>
        </w:rPr>
        <w:t xml:space="preserve"> </w:t>
      </w:r>
      <w:r w:rsidRPr="00436183">
        <w:rPr>
          <w:rFonts w:ascii="Mangal" w:hAnsi="Mangal" w:cs="Mangal" w:hint="cs"/>
          <w:caps/>
          <w:sz w:val="24"/>
          <w:cs/>
        </w:rPr>
        <w:t>ज़फर</w:t>
      </w:r>
      <w:r w:rsidRPr="00436183">
        <w:rPr>
          <w:rFonts w:ascii="Arial" w:hAnsi="Arial" w:cs="Arial"/>
          <w:caps/>
          <w:sz w:val="24"/>
          <w:cs/>
        </w:rPr>
        <w:t xml:space="preserve"> </w:t>
      </w:r>
      <w:r w:rsidRPr="00436183">
        <w:rPr>
          <w:rFonts w:ascii="Mangal" w:hAnsi="Mangal" w:cs="Mangal" w:hint="cs"/>
          <w:caps/>
          <w:sz w:val="24"/>
          <w:cs/>
        </w:rPr>
        <w:t>मार्ग</w:t>
      </w:r>
      <w:r w:rsidRPr="00436183">
        <w:rPr>
          <w:rFonts w:ascii="Arial" w:hAnsi="Arial" w:cs="Arial"/>
          <w:caps/>
          <w:sz w:val="24"/>
        </w:rPr>
        <w:t xml:space="preserve">, </w:t>
      </w:r>
      <w:r w:rsidRPr="00436183">
        <w:rPr>
          <w:rFonts w:ascii="Mangal" w:hAnsi="Mangal" w:cs="Mangal" w:hint="cs"/>
          <w:caps/>
          <w:sz w:val="24"/>
          <w:cs/>
        </w:rPr>
        <w:t>नई</w:t>
      </w:r>
      <w:r w:rsidRPr="00436183">
        <w:rPr>
          <w:rFonts w:ascii="Arial" w:hAnsi="Arial" w:cs="Arial"/>
          <w:caps/>
          <w:sz w:val="24"/>
          <w:cs/>
        </w:rPr>
        <w:t xml:space="preserve"> </w:t>
      </w:r>
      <w:r w:rsidRPr="00436183">
        <w:rPr>
          <w:rFonts w:ascii="Mangal" w:hAnsi="Mangal" w:cs="Mangal" w:hint="cs"/>
          <w:caps/>
          <w:sz w:val="24"/>
          <w:cs/>
        </w:rPr>
        <w:t>दिल्ली</w:t>
      </w:r>
      <w:r w:rsidRPr="00436183">
        <w:rPr>
          <w:rFonts w:ascii="Arial" w:hAnsi="Arial" w:cs="Arial"/>
          <w:caps/>
          <w:sz w:val="24"/>
          <w:cs/>
        </w:rPr>
        <w:t xml:space="preserve"> -</w:t>
      </w:r>
      <w:r w:rsidRPr="00436183">
        <w:rPr>
          <w:rFonts w:ascii="Arial" w:hAnsi="Arial" w:cs="Arial"/>
          <w:caps/>
          <w:sz w:val="24"/>
          <w:rtl/>
          <w:cs/>
        </w:rPr>
        <w:t xml:space="preserve"> </w:t>
      </w:r>
      <w:r w:rsidRPr="00436183">
        <w:rPr>
          <w:rFonts w:ascii="Arial" w:hAnsi="Arial" w:cs="Arial"/>
          <w:bCs/>
          <w:caps/>
          <w:sz w:val="24"/>
        </w:rPr>
        <w:t>110002</w:t>
      </w:r>
    </w:p>
    <w:p w14:paraId="10E97CE0" w14:textId="77777777" w:rsidR="00275B9A" w:rsidRPr="00CF4653" w:rsidRDefault="00275B9A" w:rsidP="00275B9A">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MANAK BHAVAN, 9 BAHADUR SHAH ZAFAR MARG</w:t>
      </w:r>
    </w:p>
    <w:p w14:paraId="686860BC" w14:textId="77777777" w:rsidR="00275B9A" w:rsidRPr="00CF4653" w:rsidRDefault="00275B9A" w:rsidP="00275B9A">
      <w:pPr>
        <w:tabs>
          <w:tab w:val="left" w:pos="3119"/>
          <w:tab w:val="left" w:pos="3828"/>
          <w:tab w:val="left" w:pos="4253"/>
        </w:tabs>
        <w:autoSpaceDE w:val="0"/>
        <w:autoSpaceDN w:val="0"/>
        <w:adjustRightInd w:val="0"/>
        <w:spacing w:after="0" w:line="240" w:lineRule="auto"/>
        <w:ind w:left="4867"/>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0753F174" w14:textId="77777777" w:rsidR="00275B9A" w:rsidRPr="00CF4653" w:rsidRDefault="00B33560" w:rsidP="00275B9A">
      <w:pPr>
        <w:spacing w:after="0" w:line="240" w:lineRule="auto"/>
        <w:ind w:left="4867"/>
        <w:jc w:val="center"/>
        <w:rPr>
          <w:rFonts w:ascii="Arial" w:hAnsi="Arial" w:cs="Arial"/>
          <w:sz w:val="20"/>
        </w:rPr>
      </w:pPr>
      <w:hyperlink r:id="rId10" w:history="1">
        <w:r w:rsidR="00275B9A" w:rsidRPr="00CF4653">
          <w:rPr>
            <w:rStyle w:val="Hyperlink"/>
            <w:rFonts w:ascii="Arial" w:hAnsi="Arial" w:cs="Arial"/>
          </w:rPr>
          <w:t>www.bis.gov.in</w:t>
        </w:r>
      </w:hyperlink>
      <w:r w:rsidR="00275B9A" w:rsidRPr="00CF4653">
        <w:rPr>
          <w:rFonts w:ascii="Arial" w:hAnsi="Arial" w:cs="Arial"/>
          <w:sz w:val="20"/>
        </w:rPr>
        <w:t xml:space="preserve">     </w:t>
      </w:r>
      <w:hyperlink r:id="rId11" w:history="1">
        <w:r w:rsidR="00275B9A" w:rsidRPr="00CF4653">
          <w:rPr>
            <w:rStyle w:val="Hyperlink"/>
            <w:rFonts w:ascii="Arial" w:hAnsi="Arial" w:cs="Arial"/>
          </w:rPr>
          <w:t>www.standardsbis.in</w:t>
        </w:r>
      </w:hyperlink>
    </w:p>
    <w:p w14:paraId="3A62AADC" w14:textId="77777777" w:rsidR="00275B9A" w:rsidRDefault="00275B9A" w:rsidP="00275B9A">
      <w:pPr>
        <w:spacing w:after="0" w:line="240" w:lineRule="auto"/>
        <w:ind w:left="3510" w:firstLine="720"/>
        <w:jc w:val="center"/>
        <w:rPr>
          <w:rFonts w:ascii="Arial" w:hAnsi="Arial" w:cs="Arial"/>
          <w:sz w:val="24"/>
        </w:rPr>
      </w:pPr>
    </w:p>
    <w:p w14:paraId="76418AD7" w14:textId="77777777" w:rsidR="00275B9A" w:rsidRDefault="00275B9A" w:rsidP="00275B9A">
      <w:pPr>
        <w:spacing w:after="0" w:line="240" w:lineRule="auto"/>
        <w:ind w:left="3510" w:firstLine="720"/>
        <w:jc w:val="center"/>
        <w:rPr>
          <w:rFonts w:ascii="Arial" w:hAnsi="Arial" w:cs="Arial"/>
          <w:sz w:val="24"/>
        </w:rPr>
      </w:pPr>
    </w:p>
    <w:p w14:paraId="4B7860E7" w14:textId="77777777" w:rsidR="00275B9A" w:rsidRDefault="00275B9A" w:rsidP="00275B9A">
      <w:pPr>
        <w:spacing w:after="0" w:line="240" w:lineRule="auto"/>
        <w:ind w:left="3510" w:firstLine="720"/>
        <w:jc w:val="center"/>
        <w:rPr>
          <w:rFonts w:ascii="Arial" w:hAnsi="Arial" w:cs="Arial"/>
          <w:sz w:val="24"/>
        </w:rPr>
      </w:pPr>
    </w:p>
    <w:p w14:paraId="642A4F10" w14:textId="7D7D575A" w:rsidR="00275B9A" w:rsidRDefault="00436183" w:rsidP="00275B9A">
      <w:pPr>
        <w:spacing w:after="0" w:line="240" w:lineRule="auto"/>
        <w:ind w:left="3510" w:right="-705" w:firstLine="318"/>
        <w:rPr>
          <w:rFonts w:ascii="Arial" w:hAnsi="Arial" w:cs="Arial"/>
          <w:sz w:val="24"/>
        </w:rPr>
      </w:pPr>
      <w:r>
        <w:rPr>
          <w:rFonts w:ascii="Arial" w:hAnsi="Arial" w:cs="Arial"/>
          <w:b/>
          <w:bCs/>
          <w:iCs/>
          <w:sz w:val="24"/>
        </w:rPr>
        <w:t xml:space="preserve"> </w:t>
      </w:r>
      <w:r w:rsidR="0052768B">
        <w:rPr>
          <w:rFonts w:ascii="Arial" w:hAnsi="Arial" w:cs="Arial"/>
          <w:b/>
          <w:bCs/>
          <w:iCs/>
          <w:sz w:val="24"/>
        </w:rPr>
        <w:t>March</w:t>
      </w:r>
      <w:r w:rsidR="00275B9A">
        <w:rPr>
          <w:rFonts w:ascii="Arial" w:hAnsi="Arial" w:cs="Arial"/>
          <w:b/>
          <w:bCs/>
          <w:iCs/>
          <w:sz w:val="24"/>
        </w:rPr>
        <w:t xml:space="preserve"> </w:t>
      </w:r>
      <w:r w:rsidR="00275B9A" w:rsidRPr="00CF4653">
        <w:rPr>
          <w:rFonts w:ascii="Arial" w:hAnsi="Arial" w:cs="Arial"/>
          <w:b/>
          <w:bCs/>
          <w:sz w:val="24"/>
        </w:rPr>
        <w:t>202</w:t>
      </w:r>
      <w:r w:rsidR="00275B9A">
        <w:rPr>
          <w:rFonts w:ascii="Arial" w:hAnsi="Arial" w:cs="Arial"/>
          <w:b/>
          <w:bCs/>
          <w:sz w:val="24"/>
        </w:rPr>
        <w:t>4                                        Price Group</w:t>
      </w:r>
    </w:p>
    <w:p w14:paraId="46280E26" w14:textId="77777777" w:rsidR="00275B9A" w:rsidRDefault="00275B9A" w:rsidP="00275B9A">
      <w:pPr>
        <w:spacing w:after="0" w:line="240" w:lineRule="auto"/>
        <w:ind w:left="3510" w:firstLine="720"/>
        <w:jc w:val="center"/>
        <w:rPr>
          <w:rFonts w:ascii="Arial" w:hAnsi="Arial" w:cs="Arial"/>
          <w:sz w:val="24"/>
        </w:rPr>
      </w:pPr>
    </w:p>
    <w:p w14:paraId="7FBFB7D6" w14:textId="77777777" w:rsidR="00311C85" w:rsidRDefault="00311C85" w:rsidP="00311C85">
      <w:pPr>
        <w:spacing w:after="0" w:line="240" w:lineRule="auto"/>
        <w:rPr>
          <w:b/>
          <w:bCs/>
        </w:rPr>
      </w:pPr>
    </w:p>
    <w:p w14:paraId="78FC897F" w14:textId="77777777" w:rsidR="00311C85" w:rsidRDefault="00311C85" w:rsidP="00311C85">
      <w:pPr>
        <w:spacing w:after="0" w:line="240" w:lineRule="auto"/>
        <w:rPr>
          <w:b/>
          <w:bCs/>
        </w:rPr>
      </w:pPr>
    </w:p>
    <w:p w14:paraId="5A17B9DB" w14:textId="77777777" w:rsidR="00311C85" w:rsidRDefault="00311C85" w:rsidP="00311C85">
      <w:pPr>
        <w:spacing w:after="0" w:line="240" w:lineRule="auto"/>
        <w:rPr>
          <w:b/>
          <w:bCs/>
        </w:rPr>
      </w:pPr>
    </w:p>
    <w:p w14:paraId="4EE3C6AB" w14:textId="77777777" w:rsidR="003B34FE" w:rsidRDefault="003B34FE" w:rsidP="00311C85">
      <w:pPr>
        <w:spacing w:after="0" w:line="240" w:lineRule="auto"/>
      </w:pPr>
    </w:p>
    <w:p w14:paraId="5B41ECC2" w14:textId="45F1234B" w:rsidR="00311C85" w:rsidRPr="00DD62AA" w:rsidRDefault="00311C85" w:rsidP="003B34FE">
      <w:pPr>
        <w:spacing w:after="120" w:line="240" w:lineRule="auto"/>
        <w:rPr>
          <w:sz w:val="24"/>
        </w:rPr>
      </w:pPr>
      <w:r w:rsidRPr="00DD62AA">
        <w:rPr>
          <w:sz w:val="24"/>
        </w:rPr>
        <w:t>Optics and Photonics sectional committee, PGD 39</w:t>
      </w:r>
    </w:p>
    <w:p w14:paraId="326AC005" w14:textId="13496078" w:rsidR="000E24FE" w:rsidRPr="00311C85" w:rsidRDefault="000E24FE" w:rsidP="003B34FE">
      <w:pPr>
        <w:spacing w:after="120" w:line="240" w:lineRule="auto"/>
        <w:rPr>
          <w:rFonts w:ascii="Arial" w:hAnsi="Arial" w:cs="Arial"/>
          <w:sz w:val="24"/>
        </w:rPr>
      </w:pPr>
      <w:r w:rsidRPr="00A06CFB">
        <w:rPr>
          <w:bCs/>
          <w:sz w:val="24"/>
        </w:rPr>
        <w:t xml:space="preserve">NATIONAL FOREWORD </w:t>
      </w:r>
      <w:bookmarkStart w:id="0" w:name="_GoBack"/>
      <w:bookmarkEnd w:id="0"/>
    </w:p>
    <w:p w14:paraId="15338A89" w14:textId="77777777" w:rsidR="00AF66F8" w:rsidRDefault="00AF66F8" w:rsidP="000E24FE">
      <w:pPr>
        <w:tabs>
          <w:tab w:val="left" w:pos="1767"/>
        </w:tabs>
        <w:spacing w:after="0" w:line="240" w:lineRule="auto"/>
        <w:rPr>
          <w:bCs/>
          <w:sz w:val="24"/>
        </w:rPr>
      </w:pPr>
    </w:p>
    <w:p w14:paraId="6376E455" w14:textId="6FEB0C11" w:rsidR="00DE0028" w:rsidRPr="00790F3B" w:rsidRDefault="00DE0028" w:rsidP="00CC6E9F">
      <w:pPr>
        <w:autoSpaceDE w:val="0"/>
        <w:autoSpaceDN w:val="0"/>
        <w:adjustRightInd w:val="0"/>
        <w:spacing w:after="0" w:line="240" w:lineRule="auto"/>
        <w:rPr>
          <w:color w:val="000000" w:themeColor="text1"/>
          <w:sz w:val="24"/>
        </w:rPr>
      </w:pPr>
      <w:r w:rsidRPr="00790F3B">
        <w:rPr>
          <w:color w:val="000000" w:themeColor="text1"/>
          <w:sz w:val="24"/>
        </w:rPr>
        <w:t>This Indian Standard</w:t>
      </w:r>
      <w:r w:rsidR="003A6FB7">
        <w:rPr>
          <w:color w:val="000000" w:themeColor="text1"/>
          <w:sz w:val="24"/>
        </w:rPr>
        <w:t xml:space="preserve"> (Second Revision)</w:t>
      </w:r>
      <w:r w:rsidRPr="00790F3B">
        <w:rPr>
          <w:color w:val="000000" w:themeColor="text1"/>
          <w:sz w:val="24"/>
        </w:rPr>
        <w:t xml:space="preserve"> which is identical with ISO </w:t>
      </w:r>
      <w:r w:rsidR="00352717">
        <w:rPr>
          <w:color w:val="000000" w:themeColor="text1"/>
          <w:sz w:val="24"/>
        </w:rPr>
        <w:t>12005 :</w:t>
      </w:r>
      <w:r w:rsidR="00CC6E9F">
        <w:rPr>
          <w:color w:val="000000" w:themeColor="text1"/>
          <w:sz w:val="24"/>
        </w:rPr>
        <w:t xml:space="preserve"> 2022</w:t>
      </w:r>
      <w:r w:rsidRPr="00790F3B">
        <w:rPr>
          <w:color w:val="000000" w:themeColor="text1"/>
          <w:sz w:val="24"/>
        </w:rPr>
        <w:t xml:space="preserve"> ‘</w:t>
      </w:r>
      <w:r w:rsidR="00CC6E9F" w:rsidRPr="00CC6E9F">
        <w:rPr>
          <w:color w:val="000000" w:themeColor="text1"/>
          <w:sz w:val="24"/>
        </w:rPr>
        <w:t>Lasers and Laser-related Equipment — Test Methods for Laser Beam</w:t>
      </w:r>
      <w:r w:rsidR="00CC6E9F">
        <w:rPr>
          <w:color w:val="000000" w:themeColor="text1"/>
          <w:sz w:val="24"/>
        </w:rPr>
        <w:t xml:space="preserve"> </w:t>
      </w:r>
      <w:r w:rsidR="00CC6E9F" w:rsidRPr="00CC6E9F">
        <w:rPr>
          <w:color w:val="000000" w:themeColor="text1"/>
          <w:sz w:val="24"/>
        </w:rPr>
        <w:t>Parameters — Polarization</w:t>
      </w:r>
      <w:r w:rsidRPr="00CC6E9F">
        <w:rPr>
          <w:color w:val="000000" w:themeColor="text1"/>
          <w:sz w:val="24"/>
        </w:rPr>
        <w:t>’</w:t>
      </w:r>
      <w:r w:rsidRPr="00790F3B">
        <w:rPr>
          <w:color w:val="000000" w:themeColor="text1"/>
          <w:sz w:val="24"/>
        </w:rPr>
        <w:t xml:space="preserve"> issued by the International Organization for Standardization (ISO) </w:t>
      </w:r>
      <w:r w:rsidR="00311C85">
        <w:rPr>
          <w:color w:val="000000" w:themeColor="text1"/>
          <w:sz w:val="24"/>
        </w:rPr>
        <w:t xml:space="preserve">was </w:t>
      </w:r>
      <w:r w:rsidRPr="00790F3B">
        <w:rPr>
          <w:color w:val="000000" w:themeColor="text1"/>
          <w:sz w:val="24"/>
        </w:rPr>
        <w:t>adopted by the Bureau of Indian Standards on the recommendation of the Optics and Photonics Sectional Committee and approval of the Production and General Engineering Division Council.</w:t>
      </w:r>
    </w:p>
    <w:p w14:paraId="3E3ED4A0" w14:textId="77777777" w:rsidR="00791C8A" w:rsidRDefault="00791C8A" w:rsidP="00791C8A">
      <w:pPr>
        <w:tabs>
          <w:tab w:val="left" w:pos="916"/>
          <w:tab w:val="left" w:pos="1832"/>
          <w:tab w:val="left" w:pos="2748"/>
          <w:tab w:val="center" w:pos="4680"/>
        </w:tabs>
        <w:spacing w:before="240" w:after="0"/>
        <w:rPr>
          <w:bCs/>
          <w:sz w:val="24"/>
        </w:rPr>
      </w:pPr>
      <w:r w:rsidRPr="007F4D32">
        <w:rPr>
          <w:bCs/>
          <w:sz w:val="24"/>
        </w:rPr>
        <w:t>This document specifies a method, which is a relatively quick and simple method with minimum equipment, for determining the polarization status and, whenever possible, the degree of polarization of the beam from a continuous wave (</w:t>
      </w:r>
      <w:proofErr w:type="spellStart"/>
      <w:r w:rsidRPr="007F4D32">
        <w:rPr>
          <w:bCs/>
          <w:sz w:val="24"/>
        </w:rPr>
        <w:t>cw</w:t>
      </w:r>
      <w:proofErr w:type="spellEnd"/>
      <w:r w:rsidRPr="007F4D32">
        <w:rPr>
          <w:bCs/>
          <w:sz w:val="24"/>
        </w:rPr>
        <w:t>) laser. It can also be applied to repetitively pulsed lasers, if their electric field vector orientation does not change from pulse to pulse.</w:t>
      </w:r>
    </w:p>
    <w:p w14:paraId="33280B84" w14:textId="101C7FEB" w:rsidR="00791C8A" w:rsidRDefault="00791C8A" w:rsidP="00791C8A">
      <w:pPr>
        <w:pStyle w:val="Heading1"/>
        <w:shd w:val="clear" w:color="auto" w:fill="FFFFFF"/>
        <w:spacing w:line="240" w:lineRule="auto"/>
        <w:jc w:val="both"/>
        <w:rPr>
          <w:color w:val="000000" w:themeColor="text1"/>
          <w:sz w:val="24"/>
        </w:rPr>
      </w:pPr>
      <w:r w:rsidRPr="005B3BA8">
        <w:rPr>
          <w:rFonts w:ascii="Times New Roman" w:eastAsia="Verdana" w:hAnsi="Times New Roman" w:cs="Times New Roman"/>
          <w:color w:val="000000" w:themeColor="text1"/>
          <w:sz w:val="24"/>
          <w:szCs w:val="24"/>
          <w:lang w:val="en-IN" w:bidi="hi-IN"/>
        </w:rPr>
        <w:t xml:space="preserve">This standard was originally published as </w:t>
      </w:r>
      <w:r>
        <w:rPr>
          <w:rFonts w:ascii="Times New Roman" w:eastAsia="Verdana" w:hAnsi="Times New Roman" w:cs="Times New Roman"/>
          <w:color w:val="000000" w:themeColor="text1"/>
          <w:sz w:val="24"/>
          <w:szCs w:val="24"/>
          <w:lang w:val="en-IN" w:bidi="hi-IN"/>
        </w:rPr>
        <w:t>2001</w:t>
      </w:r>
      <w:r w:rsidRPr="005B3BA8">
        <w:rPr>
          <w:rFonts w:ascii="Times New Roman" w:eastAsia="Verdana" w:hAnsi="Times New Roman" w:cs="Times New Roman"/>
          <w:color w:val="000000" w:themeColor="text1"/>
          <w:sz w:val="24"/>
          <w:szCs w:val="24"/>
          <w:lang w:val="en-IN" w:bidi="hi-IN"/>
        </w:rPr>
        <w:t xml:space="preserve"> </w:t>
      </w:r>
      <w:r>
        <w:rPr>
          <w:rFonts w:ascii="Times New Roman" w:eastAsia="Verdana" w:hAnsi="Times New Roman" w:cs="Times New Roman"/>
          <w:color w:val="000000" w:themeColor="text1"/>
          <w:sz w:val="24"/>
          <w:szCs w:val="24"/>
          <w:lang w:val="en-IN" w:bidi="hi-IN"/>
        </w:rPr>
        <w:t>and subsequently revised in 2017</w:t>
      </w:r>
      <w:r w:rsidRPr="005B3BA8">
        <w:rPr>
          <w:rFonts w:ascii="Times New Roman" w:eastAsia="Verdana" w:hAnsi="Times New Roman" w:cs="Times New Roman"/>
          <w:color w:val="000000" w:themeColor="text1"/>
          <w:sz w:val="24"/>
          <w:szCs w:val="24"/>
          <w:lang w:val="en-IN" w:bidi="hi-IN"/>
        </w:rPr>
        <w:t>. First r</w:t>
      </w:r>
      <w:r>
        <w:rPr>
          <w:rFonts w:ascii="Times New Roman" w:eastAsia="Verdana" w:hAnsi="Times New Roman" w:cs="Times New Roman"/>
          <w:color w:val="000000" w:themeColor="text1"/>
          <w:sz w:val="24"/>
          <w:szCs w:val="24"/>
          <w:lang w:val="en-IN" w:bidi="hi-IN"/>
        </w:rPr>
        <w:t xml:space="preserve">evision was based on ISO </w:t>
      </w:r>
      <w:proofErr w:type="gramStart"/>
      <w:r>
        <w:rPr>
          <w:rFonts w:ascii="Times New Roman" w:eastAsia="Verdana" w:hAnsi="Times New Roman" w:cs="Times New Roman"/>
          <w:color w:val="000000" w:themeColor="text1"/>
          <w:sz w:val="24"/>
          <w:szCs w:val="24"/>
          <w:lang w:val="en-IN" w:bidi="hi-IN"/>
        </w:rPr>
        <w:t>12005 :</w:t>
      </w:r>
      <w:proofErr w:type="gramEnd"/>
      <w:r>
        <w:rPr>
          <w:rFonts w:ascii="Times New Roman" w:eastAsia="Verdana" w:hAnsi="Times New Roman" w:cs="Times New Roman"/>
          <w:color w:val="000000" w:themeColor="text1"/>
          <w:sz w:val="24"/>
          <w:szCs w:val="24"/>
          <w:lang w:val="en-IN" w:bidi="hi-IN"/>
        </w:rPr>
        <w:t xml:space="preserve"> 2003</w:t>
      </w:r>
      <w:r w:rsidRPr="005B3BA8">
        <w:rPr>
          <w:rFonts w:ascii="Times New Roman" w:eastAsia="Verdana" w:hAnsi="Times New Roman" w:cs="Times New Roman"/>
          <w:color w:val="000000" w:themeColor="text1"/>
          <w:sz w:val="24"/>
          <w:szCs w:val="24"/>
          <w:lang w:val="en-IN" w:bidi="hi-IN"/>
        </w:rPr>
        <w:t xml:space="preserve"> ‘</w:t>
      </w:r>
      <w:r w:rsidRPr="00791C8A">
        <w:rPr>
          <w:rFonts w:ascii="Times New Roman" w:eastAsia="Verdana" w:hAnsi="Times New Roman" w:cs="Times New Roman"/>
          <w:color w:val="000000" w:themeColor="text1"/>
          <w:sz w:val="24"/>
          <w:szCs w:val="24"/>
          <w:lang w:val="en-IN" w:bidi="hi-IN"/>
        </w:rPr>
        <w:t>Lasers and laser-related equipment</w:t>
      </w:r>
      <w:r>
        <w:rPr>
          <w:rFonts w:ascii="Times New Roman" w:eastAsia="Verdana" w:hAnsi="Times New Roman" w:cs="Times New Roman"/>
          <w:color w:val="000000" w:themeColor="text1"/>
          <w:sz w:val="24"/>
          <w:szCs w:val="24"/>
          <w:lang w:val="en-IN" w:bidi="hi-IN"/>
        </w:rPr>
        <w:t xml:space="preserve"> </w:t>
      </w:r>
      <w:r w:rsidRPr="00791C8A">
        <w:rPr>
          <w:rFonts w:ascii="Times New Roman" w:eastAsia="Verdana" w:hAnsi="Times New Roman" w:cs="Times New Roman"/>
          <w:color w:val="000000" w:themeColor="text1"/>
          <w:sz w:val="24"/>
          <w:szCs w:val="24"/>
          <w:lang w:val="en-IN" w:bidi="hi-IN"/>
        </w:rPr>
        <w:t>— Test methods for laser beam</w:t>
      </w:r>
      <w:r>
        <w:rPr>
          <w:rFonts w:ascii="Times New Roman" w:eastAsia="Verdana" w:hAnsi="Times New Roman" w:cs="Times New Roman"/>
          <w:color w:val="000000" w:themeColor="text1"/>
          <w:sz w:val="24"/>
          <w:szCs w:val="24"/>
          <w:lang w:val="en-IN" w:bidi="hi-IN"/>
        </w:rPr>
        <w:t xml:space="preserve"> </w:t>
      </w:r>
      <w:r w:rsidRPr="00791C8A">
        <w:rPr>
          <w:rFonts w:ascii="Times New Roman" w:eastAsia="Verdana" w:hAnsi="Times New Roman" w:cs="Times New Roman"/>
          <w:color w:val="000000" w:themeColor="text1"/>
          <w:sz w:val="24"/>
          <w:szCs w:val="24"/>
          <w:lang w:val="en-IN" w:bidi="hi-IN"/>
        </w:rPr>
        <w:t>parameters — Polarization</w:t>
      </w:r>
      <w:r>
        <w:rPr>
          <w:rFonts w:ascii="Times New Roman" w:eastAsia="Verdana" w:hAnsi="Times New Roman" w:cs="Times New Roman"/>
          <w:color w:val="000000" w:themeColor="text1"/>
          <w:sz w:val="24"/>
          <w:szCs w:val="24"/>
          <w:lang w:val="en-IN" w:bidi="hi-IN"/>
        </w:rPr>
        <w:t>’</w:t>
      </w:r>
      <w:r w:rsidRPr="005B3BA8">
        <w:rPr>
          <w:rFonts w:ascii="Times New Roman" w:eastAsia="Verdana" w:hAnsi="Times New Roman" w:cs="Times New Roman"/>
          <w:color w:val="000000" w:themeColor="text1"/>
          <w:sz w:val="24"/>
          <w:szCs w:val="24"/>
          <w:lang w:val="en-IN" w:bidi="hi-IN"/>
        </w:rPr>
        <w:t xml:space="preserve"> issued by the International Organization for Standardization (ISO). This revision of this standard has been undertaken to align it with t</w:t>
      </w:r>
      <w:r>
        <w:rPr>
          <w:rFonts w:ascii="Times New Roman" w:eastAsia="Verdana" w:hAnsi="Times New Roman" w:cs="Times New Roman"/>
          <w:color w:val="000000" w:themeColor="text1"/>
          <w:sz w:val="24"/>
          <w:szCs w:val="24"/>
          <w:lang w:val="en-IN" w:bidi="hi-IN"/>
        </w:rPr>
        <w:t xml:space="preserve">he latest version of ISO 12005. </w:t>
      </w:r>
      <w:r w:rsidRPr="00DB1355">
        <w:rPr>
          <w:rFonts w:ascii="Times New Roman" w:eastAsia="Verdana" w:hAnsi="Times New Roman" w:cs="Times New Roman"/>
          <w:color w:val="000000" w:themeColor="text1"/>
          <w:sz w:val="24"/>
          <w:szCs w:val="24"/>
          <w:lang w:val="en-IN" w:bidi="hi-IN"/>
        </w:rPr>
        <w:t>The major changes in this revision are as follows:</w:t>
      </w:r>
    </w:p>
    <w:p w14:paraId="57E9D153" w14:textId="08021E78" w:rsidR="007F4D32" w:rsidRPr="007F4D32" w:rsidRDefault="007F4D32" w:rsidP="007F4D32">
      <w:pPr>
        <w:pStyle w:val="ListParagraph"/>
        <w:numPr>
          <w:ilvl w:val="0"/>
          <w:numId w:val="2"/>
        </w:numPr>
        <w:tabs>
          <w:tab w:val="left" w:pos="916"/>
          <w:tab w:val="left" w:pos="1832"/>
          <w:tab w:val="left" w:pos="2748"/>
          <w:tab w:val="center" w:pos="4680"/>
        </w:tabs>
        <w:spacing w:before="240" w:after="0"/>
        <w:rPr>
          <w:rFonts w:ascii="Times New Roman" w:hAnsi="Times New Roman" w:cs="Times New Roman"/>
          <w:bCs/>
          <w:sz w:val="24"/>
        </w:rPr>
      </w:pPr>
      <w:r w:rsidRPr="007F4D32">
        <w:rPr>
          <w:rFonts w:ascii="Times New Roman" w:hAnsi="Times New Roman" w:cs="Times New Roman"/>
          <w:bCs/>
          <w:sz w:val="24"/>
        </w:rPr>
        <w:t xml:space="preserve">Description errors in </w:t>
      </w:r>
      <w:r w:rsidRPr="00352717">
        <w:rPr>
          <w:rFonts w:ascii="Times New Roman" w:hAnsi="Times New Roman" w:cs="Times New Roman"/>
          <w:b/>
          <w:sz w:val="24"/>
        </w:rPr>
        <w:t>4.5</w:t>
      </w:r>
      <w:r w:rsidRPr="007F4D32">
        <w:rPr>
          <w:rFonts w:ascii="Times New Roman" w:hAnsi="Times New Roman" w:cs="Times New Roman"/>
          <w:bCs/>
          <w:sz w:val="24"/>
        </w:rPr>
        <w:t xml:space="preserve"> (analysis of the results) have been corrected;</w:t>
      </w:r>
    </w:p>
    <w:p w14:paraId="40103F29" w14:textId="545783D6" w:rsidR="007F4D32" w:rsidRPr="007F4D32" w:rsidRDefault="007F4D32" w:rsidP="007F4D32">
      <w:pPr>
        <w:pStyle w:val="ListParagraph"/>
        <w:numPr>
          <w:ilvl w:val="0"/>
          <w:numId w:val="2"/>
        </w:numPr>
        <w:tabs>
          <w:tab w:val="left" w:pos="916"/>
          <w:tab w:val="left" w:pos="1832"/>
          <w:tab w:val="left" w:pos="2748"/>
          <w:tab w:val="center" w:pos="4680"/>
        </w:tabs>
        <w:spacing w:before="240" w:after="0"/>
        <w:rPr>
          <w:rFonts w:ascii="Times New Roman" w:hAnsi="Times New Roman" w:cs="Times New Roman"/>
          <w:bCs/>
          <w:sz w:val="24"/>
        </w:rPr>
      </w:pPr>
      <w:r w:rsidRPr="007F4D32">
        <w:rPr>
          <w:rFonts w:ascii="Times New Roman" w:hAnsi="Times New Roman" w:cs="Times New Roman"/>
          <w:bCs/>
          <w:sz w:val="24"/>
        </w:rPr>
        <w:t>Definitions of the “degree of polarization” and the “degree of linear polarization” have been made clear;</w:t>
      </w:r>
    </w:p>
    <w:p w14:paraId="4A53D1D9" w14:textId="3C6982F5" w:rsidR="007F4D32" w:rsidRPr="007F4D32" w:rsidRDefault="007F4D32" w:rsidP="007F4D32">
      <w:pPr>
        <w:pStyle w:val="ListParagraph"/>
        <w:numPr>
          <w:ilvl w:val="0"/>
          <w:numId w:val="2"/>
        </w:numPr>
        <w:tabs>
          <w:tab w:val="left" w:pos="916"/>
          <w:tab w:val="left" w:pos="1832"/>
          <w:tab w:val="left" w:pos="2748"/>
          <w:tab w:val="center" w:pos="4680"/>
        </w:tabs>
        <w:spacing w:before="240" w:after="0"/>
        <w:rPr>
          <w:rFonts w:ascii="Times New Roman" w:hAnsi="Times New Roman" w:cs="Times New Roman"/>
          <w:bCs/>
          <w:sz w:val="24"/>
        </w:rPr>
      </w:pPr>
      <w:r w:rsidRPr="007F4D32">
        <w:rPr>
          <w:rFonts w:ascii="Times New Roman" w:hAnsi="Times New Roman" w:cs="Times New Roman"/>
          <w:bCs/>
          <w:sz w:val="24"/>
        </w:rPr>
        <w:t>Definition of extinction ratio has been changed; and</w:t>
      </w:r>
    </w:p>
    <w:p w14:paraId="0CA65664" w14:textId="29D45E94" w:rsidR="007F4D32" w:rsidRPr="007F4D32" w:rsidRDefault="007F4D32" w:rsidP="00352717">
      <w:pPr>
        <w:pStyle w:val="ListParagraph"/>
        <w:numPr>
          <w:ilvl w:val="0"/>
          <w:numId w:val="2"/>
        </w:numPr>
        <w:tabs>
          <w:tab w:val="left" w:pos="916"/>
          <w:tab w:val="left" w:pos="1832"/>
          <w:tab w:val="left" w:pos="2748"/>
          <w:tab w:val="center" w:pos="4680"/>
        </w:tabs>
        <w:spacing w:before="240" w:after="0"/>
        <w:jc w:val="both"/>
        <w:rPr>
          <w:rFonts w:ascii="Times New Roman" w:hAnsi="Times New Roman" w:cs="Times New Roman"/>
          <w:bCs/>
          <w:sz w:val="24"/>
        </w:rPr>
      </w:pPr>
      <w:r w:rsidRPr="00352717">
        <w:rPr>
          <w:rFonts w:ascii="Times New Roman" w:hAnsi="Times New Roman" w:cs="Times New Roman"/>
          <w:b/>
          <w:sz w:val="24"/>
        </w:rPr>
        <w:t>3.3</w:t>
      </w:r>
      <w:r w:rsidRPr="007F4D32">
        <w:rPr>
          <w:rFonts w:ascii="Times New Roman" w:hAnsi="Times New Roman" w:cs="Times New Roman"/>
          <w:bCs/>
          <w:sz w:val="24"/>
        </w:rPr>
        <w:t xml:space="preserve"> (direction of polarization), </w:t>
      </w:r>
      <w:r w:rsidRPr="00352717">
        <w:rPr>
          <w:rFonts w:ascii="Times New Roman" w:hAnsi="Times New Roman" w:cs="Times New Roman"/>
          <w:b/>
          <w:sz w:val="24"/>
        </w:rPr>
        <w:t>3.4</w:t>
      </w:r>
      <w:r w:rsidRPr="007F4D32">
        <w:rPr>
          <w:rFonts w:ascii="Times New Roman" w:hAnsi="Times New Roman" w:cs="Times New Roman"/>
          <w:bCs/>
          <w:sz w:val="24"/>
        </w:rPr>
        <w:t xml:space="preserve"> (plane of polarization), and </w:t>
      </w:r>
      <w:r w:rsidRPr="00352717">
        <w:rPr>
          <w:rFonts w:ascii="Times New Roman" w:hAnsi="Times New Roman" w:cs="Times New Roman"/>
          <w:b/>
          <w:sz w:val="24"/>
        </w:rPr>
        <w:t>3.5</w:t>
      </w:r>
      <w:r w:rsidRPr="007F4D32">
        <w:rPr>
          <w:rFonts w:ascii="Times New Roman" w:hAnsi="Times New Roman" w:cs="Times New Roman"/>
          <w:bCs/>
          <w:sz w:val="24"/>
        </w:rPr>
        <w:t xml:space="preserve"> (</w:t>
      </w:r>
      <w:proofErr w:type="spellStart"/>
      <w:r w:rsidRPr="007F4D32">
        <w:rPr>
          <w:rFonts w:ascii="Times New Roman" w:hAnsi="Times New Roman" w:cs="Times New Roman"/>
          <w:bCs/>
          <w:sz w:val="24"/>
        </w:rPr>
        <w:t>ellipticity</w:t>
      </w:r>
      <w:proofErr w:type="spellEnd"/>
      <w:r w:rsidRPr="007F4D32">
        <w:rPr>
          <w:rFonts w:ascii="Times New Roman" w:hAnsi="Times New Roman" w:cs="Times New Roman"/>
          <w:bCs/>
          <w:sz w:val="24"/>
        </w:rPr>
        <w:t>) have been deleted because these terms are confusing due to the different definitions, and they are not necessarily re</w:t>
      </w:r>
      <w:r w:rsidR="00765227">
        <w:rPr>
          <w:rFonts w:ascii="Times New Roman" w:hAnsi="Times New Roman" w:cs="Times New Roman"/>
          <w:bCs/>
          <w:sz w:val="24"/>
        </w:rPr>
        <w:t>quired for this standard</w:t>
      </w:r>
      <w:r w:rsidR="00352717">
        <w:rPr>
          <w:rFonts w:ascii="Times New Roman" w:hAnsi="Times New Roman" w:cs="Times New Roman"/>
          <w:bCs/>
          <w:sz w:val="24"/>
        </w:rPr>
        <w:t xml:space="preserve">. </w:t>
      </w:r>
      <w:r w:rsidRPr="00352717">
        <w:rPr>
          <w:rFonts w:ascii="Times New Roman" w:hAnsi="Times New Roman" w:cs="Times New Roman"/>
          <w:b/>
          <w:sz w:val="24"/>
        </w:rPr>
        <w:t>3.11</w:t>
      </w:r>
      <w:r w:rsidRPr="007F4D32">
        <w:rPr>
          <w:rFonts w:ascii="Times New Roman" w:hAnsi="Times New Roman" w:cs="Times New Roman"/>
          <w:bCs/>
          <w:sz w:val="24"/>
        </w:rPr>
        <w:t xml:space="preserve"> (Stokes parameters) has been deleted and moved to Annex A because it is not used in the measurement and analysis.</w:t>
      </w:r>
    </w:p>
    <w:p w14:paraId="644CE4A9" w14:textId="77777777" w:rsidR="007F4D32" w:rsidRPr="007F4D32" w:rsidRDefault="007F4D32" w:rsidP="007F4D32">
      <w:pPr>
        <w:tabs>
          <w:tab w:val="left" w:pos="916"/>
          <w:tab w:val="left" w:pos="1832"/>
          <w:tab w:val="left" w:pos="2748"/>
          <w:tab w:val="center" w:pos="4680"/>
        </w:tabs>
        <w:spacing w:before="240" w:after="0"/>
        <w:rPr>
          <w:bCs/>
          <w:sz w:val="24"/>
        </w:rPr>
      </w:pPr>
      <w:r w:rsidRPr="007F4D32">
        <w:rPr>
          <w:bCs/>
          <w:sz w:val="24"/>
        </w:rPr>
        <w:t>The text of ISO Standard has been approved as suitable for publication as an Indian Standard without deviations. Certain terminology and conventions are however not identical to those used in Indian Standards Attention is particularly drawn to the following:</w:t>
      </w:r>
    </w:p>
    <w:p w14:paraId="46EFE2F4" w14:textId="45FD4B7F" w:rsidR="007F4D32" w:rsidRPr="007F4D32" w:rsidRDefault="007F4D32" w:rsidP="007F4D32">
      <w:pPr>
        <w:pStyle w:val="ListParagraph"/>
        <w:numPr>
          <w:ilvl w:val="0"/>
          <w:numId w:val="3"/>
        </w:numPr>
        <w:tabs>
          <w:tab w:val="left" w:pos="916"/>
          <w:tab w:val="left" w:pos="1832"/>
          <w:tab w:val="left" w:pos="2748"/>
          <w:tab w:val="center" w:pos="4680"/>
        </w:tabs>
        <w:spacing w:before="240" w:after="0"/>
        <w:rPr>
          <w:rFonts w:ascii="Times New Roman" w:hAnsi="Times New Roman" w:cs="Times New Roman"/>
          <w:bCs/>
          <w:sz w:val="24"/>
        </w:rPr>
      </w:pPr>
      <w:r w:rsidRPr="007F4D32">
        <w:rPr>
          <w:rFonts w:ascii="Times New Roman" w:hAnsi="Times New Roman" w:cs="Times New Roman"/>
          <w:bCs/>
          <w:sz w:val="24"/>
        </w:rPr>
        <w:t>Wherever the words ‘International Standard’ appear referring to this standard, they should be read as ‘Indian Standard’.</w:t>
      </w:r>
    </w:p>
    <w:p w14:paraId="7BE297F5" w14:textId="21462613" w:rsidR="007F4D32" w:rsidRPr="007F4D32" w:rsidRDefault="007F4D32" w:rsidP="007F4D32">
      <w:pPr>
        <w:pStyle w:val="ListParagraph"/>
        <w:numPr>
          <w:ilvl w:val="0"/>
          <w:numId w:val="3"/>
        </w:numPr>
        <w:tabs>
          <w:tab w:val="left" w:pos="916"/>
          <w:tab w:val="left" w:pos="1832"/>
          <w:tab w:val="left" w:pos="2748"/>
          <w:tab w:val="center" w:pos="4680"/>
        </w:tabs>
        <w:spacing w:before="240" w:after="0"/>
        <w:rPr>
          <w:rFonts w:ascii="Times New Roman" w:hAnsi="Times New Roman" w:cs="Times New Roman"/>
          <w:bCs/>
          <w:sz w:val="24"/>
        </w:rPr>
      </w:pPr>
      <w:r w:rsidRPr="007F4D32">
        <w:rPr>
          <w:rFonts w:ascii="Times New Roman" w:hAnsi="Times New Roman" w:cs="Times New Roman"/>
          <w:bCs/>
          <w:sz w:val="24"/>
        </w:rPr>
        <w:t>Comma (,) has been used as decimal marker while in Indian Standards, the current practice is to use a full point (.) as the decimal marker.</w:t>
      </w:r>
    </w:p>
    <w:p w14:paraId="7FBFA3CE" w14:textId="1D302102" w:rsidR="007F4D32" w:rsidRDefault="007F4D32" w:rsidP="007F4D32">
      <w:pPr>
        <w:tabs>
          <w:tab w:val="left" w:pos="916"/>
          <w:tab w:val="left" w:pos="1832"/>
          <w:tab w:val="left" w:pos="2748"/>
          <w:tab w:val="center" w:pos="4680"/>
        </w:tabs>
        <w:spacing w:before="240" w:after="0"/>
        <w:rPr>
          <w:bCs/>
          <w:sz w:val="24"/>
        </w:rPr>
      </w:pPr>
      <w:r w:rsidRPr="007F4D32">
        <w:rPr>
          <w:bCs/>
          <w:sz w:val="24"/>
        </w:rPr>
        <w:t>In this adopted standard, references appear to certain International Standards for which Indian Standards also exist. The corresponding Indian Standards, which are to be substituted in their respective places, are listed below along with their degree of equivalence for the editions indicated</w:t>
      </w:r>
    </w:p>
    <w:p w14:paraId="5A6F1135" w14:textId="71F40308" w:rsidR="004C4FB5" w:rsidRDefault="004C4FB5" w:rsidP="007F4D32">
      <w:pPr>
        <w:tabs>
          <w:tab w:val="left" w:pos="916"/>
          <w:tab w:val="left" w:pos="1832"/>
          <w:tab w:val="left" w:pos="2748"/>
          <w:tab w:val="center" w:pos="4680"/>
        </w:tabs>
        <w:spacing w:before="240" w:after="0"/>
        <w:rPr>
          <w:bCs/>
          <w:sz w:val="24"/>
        </w:rPr>
      </w:pPr>
      <w:r>
        <w:rPr>
          <w:bCs/>
          <w:sz w:val="24"/>
        </w:rPr>
        <w:lastRenderedPageBreak/>
        <w:t>.</w:t>
      </w:r>
    </w:p>
    <w:tbl>
      <w:tblPr>
        <w:tblStyle w:val="TableGrid"/>
        <w:tblW w:w="9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90"/>
        <w:gridCol w:w="2704"/>
      </w:tblGrid>
      <w:tr w:rsidR="007F4D32" w14:paraId="00ADFA69" w14:textId="77777777" w:rsidTr="00051522">
        <w:trPr>
          <w:trHeight w:val="496"/>
        </w:trPr>
        <w:tc>
          <w:tcPr>
            <w:tcW w:w="3600" w:type="dxa"/>
          </w:tcPr>
          <w:p w14:paraId="25B772B8" w14:textId="77777777" w:rsidR="007F4D32" w:rsidRPr="00984246" w:rsidRDefault="007F4D32" w:rsidP="00501BF5">
            <w:pPr>
              <w:autoSpaceDE w:val="0"/>
              <w:autoSpaceDN w:val="0"/>
              <w:adjustRightInd w:val="0"/>
              <w:jc w:val="center"/>
              <w:rPr>
                <w:i/>
                <w:iCs/>
                <w:color w:val="000000"/>
              </w:rPr>
            </w:pPr>
            <w:r w:rsidRPr="00984246">
              <w:rPr>
                <w:i/>
                <w:iCs/>
                <w:color w:val="000000"/>
              </w:rPr>
              <w:t>International Standard</w:t>
            </w:r>
          </w:p>
        </w:tc>
        <w:tc>
          <w:tcPr>
            <w:tcW w:w="3690" w:type="dxa"/>
          </w:tcPr>
          <w:p w14:paraId="09B8BFFC" w14:textId="77777777" w:rsidR="007F4D32" w:rsidRPr="00984246" w:rsidRDefault="007F4D32" w:rsidP="00501BF5">
            <w:pPr>
              <w:autoSpaceDE w:val="0"/>
              <w:autoSpaceDN w:val="0"/>
              <w:adjustRightInd w:val="0"/>
              <w:jc w:val="center"/>
              <w:rPr>
                <w:i/>
                <w:iCs/>
                <w:color w:val="000000"/>
              </w:rPr>
            </w:pPr>
            <w:r w:rsidRPr="00984246">
              <w:rPr>
                <w:i/>
                <w:iCs/>
                <w:color w:val="000000"/>
              </w:rPr>
              <w:t>Corresponding Indian Standard</w:t>
            </w:r>
          </w:p>
        </w:tc>
        <w:tc>
          <w:tcPr>
            <w:tcW w:w="2704" w:type="dxa"/>
          </w:tcPr>
          <w:p w14:paraId="0FA9D06F" w14:textId="77777777" w:rsidR="007F4D32" w:rsidRPr="00984246" w:rsidRDefault="007F4D32" w:rsidP="00501BF5">
            <w:pPr>
              <w:autoSpaceDE w:val="0"/>
              <w:autoSpaceDN w:val="0"/>
              <w:adjustRightInd w:val="0"/>
              <w:jc w:val="center"/>
              <w:rPr>
                <w:i/>
                <w:iCs/>
                <w:color w:val="000000"/>
              </w:rPr>
            </w:pPr>
            <w:r w:rsidRPr="00984246">
              <w:rPr>
                <w:i/>
                <w:iCs/>
                <w:color w:val="000000"/>
              </w:rPr>
              <w:t>Degree of Equivalence</w:t>
            </w:r>
          </w:p>
        </w:tc>
      </w:tr>
      <w:tr w:rsidR="007F4D32" w14:paraId="56849D3D" w14:textId="77777777" w:rsidTr="00051522">
        <w:trPr>
          <w:trHeight w:val="1254"/>
        </w:trPr>
        <w:tc>
          <w:tcPr>
            <w:tcW w:w="3600" w:type="dxa"/>
          </w:tcPr>
          <w:p w14:paraId="2D6C3795" w14:textId="77777777" w:rsidR="007F4D32" w:rsidRPr="00984246" w:rsidRDefault="007F4D32" w:rsidP="00501BF5">
            <w:pPr>
              <w:autoSpaceDE w:val="0"/>
              <w:autoSpaceDN w:val="0"/>
              <w:adjustRightInd w:val="0"/>
              <w:rPr>
                <w:color w:val="000000"/>
              </w:rPr>
            </w:pPr>
            <w:r>
              <w:rPr>
                <w:color w:val="000000"/>
              </w:rPr>
              <w:t>ISO 11145</w:t>
            </w:r>
            <w:r w:rsidRPr="00984246">
              <w:rPr>
                <w:color w:val="000000"/>
              </w:rPr>
              <w:t xml:space="preserve"> Optics and photonics — Lasers and laser-related equipment — Vocabulary and symbols</w:t>
            </w:r>
          </w:p>
        </w:tc>
        <w:tc>
          <w:tcPr>
            <w:tcW w:w="3690" w:type="dxa"/>
          </w:tcPr>
          <w:p w14:paraId="2B9D13C4" w14:textId="77777777" w:rsidR="007F4D32" w:rsidRPr="00287F23" w:rsidRDefault="007F4D32" w:rsidP="00501BF5">
            <w:pPr>
              <w:autoSpaceDE w:val="0"/>
              <w:autoSpaceDN w:val="0"/>
              <w:adjustRightInd w:val="0"/>
              <w:rPr>
                <w:color w:val="000000"/>
              </w:rPr>
            </w:pPr>
            <w:r>
              <w:rPr>
                <w:color w:val="000000"/>
              </w:rPr>
              <w:t>IS/ISO 11145 : 2018</w:t>
            </w:r>
            <w:r w:rsidRPr="00287F23">
              <w:rPr>
                <w:color w:val="000000"/>
              </w:rPr>
              <w:t xml:space="preserve"> </w:t>
            </w:r>
            <w:r>
              <w:rPr>
                <w:color w:val="000000"/>
              </w:rPr>
              <w:t>Optics and optical instruments —</w:t>
            </w:r>
            <w:r w:rsidRPr="00287F23">
              <w:rPr>
                <w:color w:val="000000"/>
              </w:rPr>
              <w:t xml:space="preserve"> Lasers</w:t>
            </w:r>
            <w:r>
              <w:rPr>
                <w:color w:val="000000"/>
              </w:rPr>
              <w:t xml:space="preserve"> and laser - related equipment —</w:t>
            </w:r>
            <w:r w:rsidRPr="00287F23">
              <w:rPr>
                <w:color w:val="000000"/>
              </w:rPr>
              <w:t xml:space="preserve"> Vocabulary and symbols</w:t>
            </w:r>
          </w:p>
        </w:tc>
        <w:tc>
          <w:tcPr>
            <w:tcW w:w="2704" w:type="dxa"/>
          </w:tcPr>
          <w:p w14:paraId="440C13DE" w14:textId="77777777" w:rsidR="007F4D32" w:rsidRPr="00FD2380" w:rsidRDefault="007F4D32" w:rsidP="00501BF5">
            <w:pPr>
              <w:autoSpaceDE w:val="0"/>
              <w:autoSpaceDN w:val="0"/>
              <w:adjustRightInd w:val="0"/>
              <w:jc w:val="center"/>
              <w:rPr>
                <w:color w:val="000000"/>
              </w:rPr>
            </w:pPr>
            <w:r w:rsidRPr="00FD2380">
              <w:rPr>
                <w:color w:val="000000"/>
              </w:rPr>
              <w:t>Identical</w:t>
            </w:r>
            <w:r>
              <w:rPr>
                <w:color w:val="000000"/>
              </w:rPr>
              <w:t xml:space="preserve"> </w:t>
            </w:r>
          </w:p>
          <w:p w14:paraId="1E62FCB0" w14:textId="77777777" w:rsidR="007F4D32" w:rsidRPr="00FD2380" w:rsidRDefault="007F4D32" w:rsidP="00501BF5">
            <w:pPr>
              <w:autoSpaceDE w:val="0"/>
              <w:autoSpaceDN w:val="0"/>
              <w:adjustRightInd w:val="0"/>
              <w:jc w:val="center"/>
              <w:rPr>
                <w:color w:val="000000"/>
              </w:rPr>
            </w:pPr>
          </w:p>
        </w:tc>
      </w:tr>
      <w:tr w:rsidR="007F4D32" w14:paraId="6BABCDD9" w14:textId="77777777" w:rsidTr="00051522">
        <w:trPr>
          <w:trHeight w:val="1737"/>
        </w:trPr>
        <w:tc>
          <w:tcPr>
            <w:tcW w:w="3600" w:type="dxa"/>
          </w:tcPr>
          <w:p w14:paraId="38911AEE" w14:textId="77777777" w:rsidR="007F4D32" w:rsidRPr="00984246" w:rsidRDefault="007F4D32" w:rsidP="00501BF5">
            <w:pPr>
              <w:autoSpaceDE w:val="0"/>
              <w:autoSpaceDN w:val="0"/>
              <w:adjustRightInd w:val="0"/>
              <w:rPr>
                <w:color w:val="000000"/>
              </w:rPr>
            </w:pPr>
            <w:r>
              <w:rPr>
                <w:color w:val="000000"/>
              </w:rPr>
              <w:t>ISO 11554</w:t>
            </w:r>
            <w:r w:rsidRPr="00FD2380">
              <w:rPr>
                <w:color w:val="000000"/>
              </w:rPr>
              <w:t xml:space="preserve"> Optics and photonics — Lasers and laser-related equipment — Test methods for laser beam</w:t>
            </w:r>
            <w:r>
              <w:rPr>
                <w:color w:val="000000"/>
              </w:rPr>
              <w:t xml:space="preserve"> </w:t>
            </w:r>
            <w:r w:rsidRPr="00FD2380">
              <w:rPr>
                <w:color w:val="000000"/>
              </w:rPr>
              <w:t>power, energy</w:t>
            </w:r>
            <w:r>
              <w:rPr>
                <w:color w:val="000000"/>
              </w:rPr>
              <w:t xml:space="preserve"> and temporal characteristics </w:t>
            </w:r>
          </w:p>
        </w:tc>
        <w:tc>
          <w:tcPr>
            <w:tcW w:w="3690" w:type="dxa"/>
          </w:tcPr>
          <w:p w14:paraId="31C2FA46" w14:textId="77777777" w:rsidR="007F4D32" w:rsidRPr="00287F23" w:rsidRDefault="007F4D32" w:rsidP="00501BF5">
            <w:pPr>
              <w:autoSpaceDE w:val="0"/>
              <w:autoSpaceDN w:val="0"/>
              <w:adjustRightInd w:val="0"/>
              <w:rPr>
                <w:color w:val="000000"/>
              </w:rPr>
            </w:pPr>
            <w:r>
              <w:rPr>
                <w:color w:val="000000"/>
              </w:rPr>
              <w:t xml:space="preserve">IS 14963 : 2023/ISO 11554 : 2017 </w:t>
            </w:r>
            <w:r w:rsidRPr="00FD2380">
              <w:rPr>
                <w:color w:val="000000"/>
              </w:rPr>
              <w:t>Op</w:t>
            </w:r>
            <w:r>
              <w:rPr>
                <w:color w:val="000000"/>
              </w:rPr>
              <w:t>tics and optical instruments - Lasers and laser -related equipment —</w:t>
            </w:r>
            <w:r w:rsidRPr="00FD2380">
              <w:rPr>
                <w:color w:val="000000"/>
              </w:rPr>
              <w:t xml:space="preserve"> Test methods for laser beam power, energy and temporal characteristics</w:t>
            </w:r>
            <w:r>
              <w:rPr>
                <w:color w:val="000000"/>
              </w:rPr>
              <w:t xml:space="preserve"> </w:t>
            </w:r>
          </w:p>
        </w:tc>
        <w:tc>
          <w:tcPr>
            <w:tcW w:w="2704" w:type="dxa"/>
          </w:tcPr>
          <w:p w14:paraId="200812CB" w14:textId="77777777" w:rsidR="007F4D32" w:rsidRPr="00FD2380" w:rsidRDefault="007F4D32" w:rsidP="00501BF5">
            <w:pPr>
              <w:autoSpaceDE w:val="0"/>
              <w:autoSpaceDN w:val="0"/>
              <w:adjustRightInd w:val="0"/>
              <w:jc w:val="center"/>
              <w:rPr>
                <w:color w:val="000000"/>
              </w:rPr>
            </w:pPr>
            <w:r w:rsidRPr="00FD2380">
              <w:rPr>
                <w:color w:val="000000"/>
              </w:rPr>
              <w:t>Identical</w:t>
            </w:r>
          </w:p>
          <w:p w14:paraId="70C5B489" w14:textId="77777777" w:rsidR="007F4D32" w:rsidRPr="00FD2380" w:rsidRDefault="007F4D32" w:rsidP="00501BF5">
            <w:pPr>
              <w:autoSpaceDE w:val="0"/>
              <w:autoSpaceDN w:val="0"/>
              <w:adjustRightInd w:val="0"/>
              <w:jc w:val="center"/>
              <w:rPr>
                <w:color w:val="000000"/>
              </w:rPr>
            </w:pPr>
          </w:p>
        </w:tc>
      </w:tr>
    </w:tbl>
    <w:p w14:paraId="1041ABBE" w14:textId="4453572E" w:rsidR="007F4D32" w:rsidRDefault="007F4D32" w:rsidP="007F4D32">
      <w:pPr>
        <w:autoSpaceDE w:val="0"/>
        <w:autoSpaceDN w:val="0"/>
        <w:adjustRightInd w:val="0"/>
        <w:spacing w:after="0" w:line="240" w:lineRule="auto"/>
        <w:ind w:right="-244"/>
        <w:rPr>
          <w:color w:val="000000"/>
        </w:rPr>
      </w:pPr>
      <w:r w:rsidRPr="00DB6152">
        <w:rPr>
          <w:color w:val="000000"/>
        </w:rPr>
        <w:t>The technical committee has reviewed the provisions of the following International Standard referred in this adopted standard and has decided that it is acceptable for use in conjunction with this standard:</w:t>
      </w:r>
    </w:p>
    <w:p w14:paraId="4C44471E" w14:textId="77777777" w:rsidR="00051522" w:rsidRDefault="00051522" w:rsidP="007F4D32">
      <w:pPr>
        <w:autoSpaceDE w:val="0"/>
        <w:autoSpaceDN w:val="0"/>
        <w:adjustRightInd w:val="0"/>
        <w:spacing w:after="0" w:line="240" w:lineRule="auto"/>
        <w:ind w:right="-244"/>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321"/>
      </w:tblGrid>
      <w:tr w:rsidR="007F4D32" w14:paraId="47A2FDED" w14:textId="77777777" w:rsidTr="00051522">
        <w:trPr>
          <w:trHeight w:val="498"/>
        </w:trPr>
        <w:tc>
          <w:tcPr>
            <w:tcW w:w="2695" w:type="dxa"/>
          </w:tcPr>
          <w:p w14:paraId="60D4133D" w14:textId="77777777" w:rsidR="007F4D32" w:rsidRPr="00320676" w:rsidRDefault="007F4D32" w:rsidP="00501BF5">
            <w:pPr>
              <w:tabs>
                <w:tab w:val="left" w:pos="7380"/>
              </w:tabs>
              <w:adjustRightInd w:val="0"/>
              <w:ind w:right="-244"/>
              <w:jc w:val="center"/>
              <w:rPr>
                <w:bCs/>
              </w:rPr>
            </w:pPr>
            <w:r w:rsidRPr="00320676">
              <w:rPr>
                <w:i/>
                <w:iCs/>
              </w:rPr>
              <w:t>International Standard</w:t>
            </w:r>
          </w:p>
        </w:tc>
        <w:tc>
          <w:tcPr>
            <w:tcW w:w="6321" w:type="dxa"/>
          </w:tcPr>
          <w:p w14:paraId="7C4D96E6" w14:textId="160F2DF1" w:rsidR="007F4D32" w:rsidRPr="00320676" w:rsidRDefault="007F4D32" w:rsidP="00051522">
            <w:pPr>
              <w:tabs>
                <w:tab w:val="left" w:pos="7380"/>
              </w:tabs>
              <w:adjustRightInd w:val="0"/>
              <w:ind w:right="-244"/>
              <w:jc w:val="center"/>
              <w:rPr>
                <w:bCs/>
              </w:rPr>
            </w:pPr>
            <w:r w:rsidRPr="00320676">
              <w:rPr>
                <w:i/>
                <w:iCs/>
              </w:rPr>
              <w:t>Title</w:t>
            </w:r>
          </w:p>
        </w:tc>
      </w:tr>
      <w:tr w:rsidR="007F4D32" w14:paraId="1ABFBE7E" w14:textId="77777777" w:rsidTr="00051522">
        <w:tc>
          <w:tcPr>
            <w:tcW w:w="2695" w:type="dxa"/>
          </w:tcPr>
          <w:p w14:paraId="52F4370D" w14:textId="77777777" w:rsidR="007F4D32" w:rsidRPr="005A5CE3" w:rsidRDefault="007F4D32" w:rsidP="00501BF5">
            <w:pPr>
              <w:tabs>
                <w:tab w:val="left" w:pos="7380"/>
              </w:tabs>
              <w:adjustRightInd w:val="0"/>
              <w:ind w:right="-244"/>
              <w:jc w:val="center"/>
            </w:pPr>
            <w:r w:rsidRPr="005A5CE3">
              <w:t>CIE 059 : 1984</w:t>
            </w:r>
          </w:p>
        </w:tc>
        <w:tc>
          <w:tcPr>
            <w:tcW w:w="6321" w:type="dxa"/>
          </w:tcPr>
          <w:p w14:paraId="7DF0D246" w14:textId="77777777" w:rsidR="007F4D32" w:rsidRPr="005A5CE3" w:rsidRDefault="007F4D32" w:rsidP="00501BF5">
            <w:pPr>
              <w:tabs>
                <w:tab w:val="left" w:pos="7380"/>
              </w:tabs>
              <w:adjustRightInd w:val="0"/>
              <w:ind w:right="-244"/>
            </w:pPr>
            <w:r w:rsidRPr="005A5CE3">
              <w:t xml:space="preserve">Definitions and Nomenclature, Instrument Polarization </w:t>
            </w:r>
          </w:p>
        </w:tc>
      </w:tr>
    </w:tbl>
    <w:p w14:paraId="2B91B7B7" w14:textId="18B97E1D" w:rsidR="007F4D32" w:rsidRDefault="007F4D32" w:rsidP="007F4D32">
      <w:pPr>
        <w:tabs>
          <w:tab w:val="left" w:pos="916"/>
          <w:tab w:val="left" w:pos="1832"/>
          <w:tab w:val="left" w:pos="2748"/>
          <w:tab w:val="center" w:pos="4680"/>
        </w:tabs>
        <w:spacing w:before="240" w:after="0"/>
        <w:rPr>
          <w:bCs/>
          <w:sz w:val="24"/>
        </w:rPr>
      </w:pPr>
      <w:r w:rsidRPr="007F4D32">
        <w:rPr>
          <w:bCs/>
          <w:sz w:val="24"/>
        </w:rPr>
        <w:t>For the purpose of deciding whether a particular requirement of this standard is complied with, the final value, observed or calculated expressing the result of a test or analysis, shall be rounded off in accordance with IS 2 : 2022 ‘Rules for rounding off numerical values (second revision)’.</w:t>
      </w:r>
    </w:p>
    <w:sectPr w:rsidR="007F4D32" w:rsidSect="00275B9A">
      <w:headerReference w:type="default" r:id="rId12"/>
      <w:pgSz w:w="12240" w:h="15840"/>
      <w:pgMar w:top="851"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59ED7" w14:textId="77777777" w:rsidR="00B33560" w:rsidRDefault="00B33560">
      <w:pPr>
        <w:spacing w:after="0" w:line="240" w:lineRule="auto"/>
      </w:pPr>
      <w:r>
        <w:separator/>
      </w:r>
    </w:p>
  </w:endnote>
  <w:endnote w:type="continuationSeparator" w:id="0">
    <w:p w14:paraId="371E3097" w14:textId="77777777" w:rsidR="00B33560" w:rsidRDefault="00B3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3090E" w14:textId="77777777" w:rsidR="00B33560" w:rsidRDefault="00B33560">
      <w:pPr>
        <w:spacing w:after="0" w:line="240" w:lineRule="auto"/>
      </w:pPr>
      <w:r>
        <w:separator/>
      </w:r>
    </w:p>
  </w:footnote>
  <w:footnote w:type="continuationSeparator" w:id="0">
    <w:p w14:paraId="0CBEE2E1" w14:textId="77777777" w:rsidR="00B33560" w:rsidRDefault="00B33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72B30" w14:textId="5823DB81" w:rsidR="00275B9A" w:rsidRPr="00612CF1" w:rsidRDefault="00275B9A" w:rsidP="00275B9A">
    <w:pPr>
      <w:spacing w:after="0" w:line="240" w:lineRule="auto"/>
      <w:ind w:left="5760"/>
      <w:jc w:val="left"/>
      <w:rPr>
        <w:b/>
        <w:bCs/>
        <w:sz w:val="24"/>
      </w:rPr>
    </w:pPr>
  </w:p>
  <w:p w14:paraId="14834B07" w14:textId="2E06E658" w:rsidR="00D62293" w:rsidRPr="00A06CFB" w:rsidRDefault="00D62293" w:rsidP="00275B9A">
    <w:pPr>
      <w:pStyle w:val="Header"/>
      <w:spacing w:after="0"/>
      <w:jc w:val="right"/>
      <w:rPr>
        <w:rFonts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60F40"/>
    <w:multiLevelType w:val="hybridMultilevel"/>
    <w:tmpl w:val="9314C9C6"/>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13D67"/>
    <w:multiLevelType w:val="hybridMultilevel"/>
    <w:tmpl w:val="719011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9D5A5D"/>
    <w:multiLevelType w:val="hybridMultilevel"/>
    <w:tmpl w:val="D2C2EC42"/>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44"/>
    <w:rsid w:val="0000144A"/>
    <w:rsid w:val="00043815"/>
    <w:rsid w:val="00051522"/>
    <w:rsid w:val="00051BC0"/>
    <w:rsid w:val="00065640"/>
    <w:rsid w:val="000703E7"/>
    <w:rsid w:val="00071544"/>
    <w:rsid w:val="00076B93"/>
    <w:rsid w:val="0008758A"/>
    <w:rsid w:val="000A7F29"/>
    <w:rsid w:val="000B51AA"/>
    <w:rsid w:val="000D4CA9"/>
    <w:rsid w:val="000E24FE"/>
    <w:rsid w:val="000F260A"/>
    <w:rsid w:val="000F2D7E"/>
    <w:rsid w:val="000F4667"/>
    <w:rsid w:val="000F4A1F"/>
    <w:rsid w:val="00106A5F"/>
    <w:rsid w:val="00110665"/>
    <w:rsid w:val="0011324D"/>
    <w:rsid w:val="00124C7B"/>
    <w:rsid w:val="00141F76"/>
    <w:rsid w:val="00151EB4"/>
    <w:rsid w:val="00155405"/>
    <w:rsid w:val="0016061A"/>
    <w:rsid w:val="00184D36"/>
    <w:rsid w:val="001B3BBE"/>
    <w:rsid w:val="001C00BF"/>
    <w:rsid w:val="001C383F"/>
    <w:rsid w:val="001D6DFF"/>
    <w:rsid w:val="001F0B76"/>
    <w:rsid w:val="001F58DC"/>
    <w:rsid w:val="001F702A"/>
    <w:rsid w:val="00201FF2"/>
    <w:rsid w:val="00204DB9"/>
    <w:rsid w:val="00206388"/>
    <w:rsid w:val="00215DB3"/>
    <w:rsid w:val="00224245"/>
    <w:rsid w:val="00224C9E"/>
    <w:rsid w:val="00244274"/>
    <w:rsid w:val="00244E5F"/>
    <w:rsid w:val="00252121"/>
    <w:rsid w:val="00252F20"/>
    <w:rsid w:val="00255A78"/>
    <w:rsid w:val="002566D8"/>
    <w:rsid w:val="002724D7"/>
    <w:rsid w:val="00275B9A"/>
    <w:rsid w:val="00285BD0"/>
    <w:rsid w:val="002B7952"/>
    <w:rsid w:val="002D0C23"/>
    <w:rsid w:val="002E0C1C"/>
    <w:rsid w:val="002E2ABA"/>
    <w:rsid w:val="00311C85"/>
    <w:rsid w:val="00330BB1"/>
    <w:rsid w:val="00345CE2"/>
    <w:rsid w:val="00352717"/>
    <w:rsid w:val="00373B0F"/>
    <w:rsid w:val="00380407"/>
    <w:rsid w:val="0038232F"/>
    <w:rsid w:val="00382955"/>
    <w:rsid w:val="00397815"/>
    <w:rsid w:val="003A6FB7"/>
    <w:rsid w:val="003B1052"/>
    <w:rsid w:val="003B34FE"/>
    <w:rsid w:val="003B4526"/>
    <w:rsid w:val="003B7FE0"/>
    <w:rsid w:val="003E770D"/>
    <w:rsid w:val="00425B0B"/>
    <w:rsid w:val="00432D15"/>
    <w:rsid w:val="004341F9"/>
    <w:rsid w:val="00436183"/>
    <w:rsid w:val="00436201"/>
    <w:rsid w:val="004365E8"/>
    <w:rsid w:val="004635DE"/>
    <w:rsid w:val="00464596"/>
    <w:rsid w:val="004708FD"/>
    <w:rsid w:val="004753DC"/>
    <w:rsid w:val="004B451A"/>
    <w:rsid w:val="004C4FB5"/>
    <w:rsid w:val="004C5E3D"/>
    <w:rsid w:val="004D32F9"/>
    <w:rsid w:val="004F34B5"/>
    <w:rsid w:val="005005B4"/>
    <w:rsid w:val="005028B3"/>
    <w:rsid w:val="00512801"/>
    <w:rsid w:val="00516ECE"/>
    <w:rsid w:val="0052768B"/>
    <w:rsid w:val="00532265"/>
    <w:rsid w:val="00541524"/>
    <w:rsid w:val="00572E2E"/>
    <w:rsid w:val="00576325"/>
    <w:rsid w:val="0058286A"/>
    <w:rsid w:val="00582F7E"/>
    <w:rsid w:val="005927F4"/>
    <w:rsid w:val="005A3373"/>
    <w:rsid w:val="005A4450"/>
    <w:rsid w:val="005B4450"/>
    <w:rsid w:val="005C3A2F"/>
    <w:rsid w:val="005C6F86"/>
    <w:rsid w:val="005E16E3"/>
    <w:rsid w:val="005F2053"/>
    <w:rsid w:val="00604B44"/>
    <w:rsid w:val="006054FA"/>
    <w:rsid w:val="0060642A"/>
    <w:rsid w:val="006113C4"/>
    <w:rsid w:val="00615F90"/>
    <w:rsid w:val="006210D8"/>
    <w:rsid w:val="0063444C"/>
    <w:rsid w:val="00640802"/>
    <w:rsid w:val="006453DD"/>
    <w:rsid w:val="006469D5"/>
    <w:rsid w:val="00650C3D"/>
    <w:rsid w:val="00666FCA"/>
    <w:rsid w:val="0067194F"/>
    <w:rsid w:val="00683387"/>
    <w:rsid w:val="00696EB5"/>
    <w:rsid w:val="006A029E"/>
    <w:rsid w:val="006A349C"/>
    <w:rsid w:val="006B1723"/>
    <w:rsid w:val="006B3F40"/>
    <w:rsid w:val="006C5ADF"/>
    <w:rsid w:val="006C69F5"/>
    <w:rsid w:val="007431C7"/>
    <w:rsid w:val="00765227"/>
    <w:rsid w:val="00765BB7"/>
    <w:rsid w:val="0077243E"/>
    <w:rsid w:val="00776ADB"/>
    <w:rsid w:val="00790983"/>
    <w:rsid w:val="00790F3B"/>
    <w:rsid w:val="00791C8A"/>
    <w:rsid w:val="007A0D5A"/>
    <w:rsid w:val="007B4996"/>
    <w:rsid w:val="007C28FB"/>
    <w:rsid w:val="007F1134"/>
    <w:rsid w:val="007F4D32"/>
    <w:rsid w:val="00807FFD"/>
    <w:rsid w:val="008120B4"/>
    <w:rsid w:val="00813656"/>
    <w:rsid w:val="00815BFF"/>
    <w:rsid w:val="008213AC"/>
    <w:rsid w:val="00833378"/>
    <w:rsid w:val="00834396"/>
    <w:rsid w:val="0084424B"/>
    <w:rsid w:val="00892EB8"/>
    <w:rsid w:val="008937F0"/>
    <w:rsid w:val="00897FA3"/>
    <w:rsid w:val="008A2E84"/>
    <w:rsid w:val="008A6A91"/>
    <w:rsid w:val="008C0198"/>
    <w:rsid w:val="008C0282"/>
    <w:rsid w:val="008C5505"/>
    <w:rsid w:val="008C5AAB"/>
    <w:rsid w:val="008D305D"/>
    <w:rsid w:val="008D7F5F"/>
    <w:rsid w:val="008E53A4"/>
    <w:rsid w:val="008F2D21"/>
    <w:rsid w:val="0091359B"/>
    <w:rsid w:val="009166AD"/>
    <w:rsid w:val="00920C00"/>
    <w:rsid w:val="00923908"/>
    <w:rsid w:val="009244F6"/>
    <w:rsid w:val="009526D2"/>
    <w:rsid w:val="0095441B"/>
    <w:rsid w:val="00955AA4"/>
    <w:rsid w:val="00961C82"/>
    <w:rsid w:val="00973F41"/>
    <w:rsid w:val="0098199A"/>
    <w:rsid w:val="009960D0"/>
    <w:rsid w:val="009B41BD"/>
    <w:rsid w:val="009B71FC"/>
    <w:rsid w:val="00A03443"/>
    <w:rsid w:val="00A06CFB"/>
    <w:rsid w:val="00A107DF"/>
    <w:rsid w:val="00A33946"/>
    <w:rsid w:val="00A35BFF"/>
    <w:rsid w:val="00A52685"/>
    <w:rsid w:val="00A572D5"/>
    <w:rsid w:val="00A57F86"/>
    <w:rsid w:val="00A67EC1"/>
    <w:rsid w:val="00A811DD"/>
    <w:rsid w:val="00A92558"/>
    <w:rsid w:val="00A92F81"/>
    <w:rsid w:val="00AA3F68"/>
    <w:rsid w:val="00AA5C73"/>
    <w:rsid w:val="00AB0449"/>
    <w:rsid w:val="00AB3DEF"/>
    <w:rsid w:val="00AB537B"/>
    <w:rsid w:val="00AC1062"/>
    <w:rsid w:val="00AC37AB"/>
    <w:rsid w:val="00AE3FFA"/>
    <w:rsid w:val="00AE51C1"/>
    <w:rsid w:val="00AE5C4E"/>
    <w:rsid w:val="00AF1698"/>
    <w:rsid w:val="00AF66F8"/>
    <w:rsid w:val="00AF7514"/>
    <w:rsid w:val="00B0048C"/>
    <w:rsid w:val="00B01A03"/>
    <w:rsid w:val="00B279E1"/>
    <w:rsid w:val="00B31991"/>
    <w:rsid w:val="00B32EFA"/>
    <w:rsid w:val="00B33560"/>
    <w:rsid w:val="00B40FB7"/>
    <w:rsid w:val="00B70778"/>
    <w:rsid w:val="00B76289"/>
    <w:rsid w:val="00B874E2"/>
    <w:rsid w:val="00B96676"/>
    <w:rsid w:val="00BB47CF"/>
    <w:rsid w:val="00BC405E"/>
    <w:rsid w:val="00BD0886"/>
    <w:rsid w:val="00BE085F"/>
    <w:rsid w:val="00BF566F"/>
    <w:rsid w:val="00C0420B"/>
    <w:rsid w:val="00C14ACA"/>
    <w:rsid w:val="00C241EB"/>
    <w:rsid w:val="00C245FA"/>
    <w:rsid w:val="00C309C3"/>
    <w:rsid w:val="00C44BEB"/>
    <w:rsid w:val="00C55077"/>
    <w:rsid w:val="00C55BF7"/>
    <w:rsid w:val="00C567F7"/>
    <w:rsid w:val="00C63EFF"/>
    <w:rsid w:val="00C64D21"/>
    <w:rsid w:val="00C660AE"/>
    <w:rsid w:val="00C91435"/>
    <w:rsid w:val="00C9204B"/>
    <w:rsid w:val="00C92FE9"/>
    <w:rsid w:val="00C933D2"/>
    <w:rsid w:val="00CA0ADE"/>
    <w:rsid w:val="00CA19F6"/>
    <w:rsid w:val="00CA290C"/>
    <w:rsid w:val="00CB1C97"/>
    <w:rsid w:val="00CC32AD"/>
    <w:rsid w:val="00CC6E9F"/>
    <w:rsid w:val="00CD6DBE"/>
    <w:rsid w:val="00CF5BF7"/>
    <w:rsid w:val="00D001F3"/>
    <w:rsid w:val="00D035DF"/>
    <w:rsid w:val="00D06ECD"/>
    <w:rsid w:val="00D13CD8"/>
    <w:rsid w:val="00D22761"/>
    <w:rsid w:val="00D27E35"/>
    <w:rsid w:val="00D35D13"/>
    <w:rsid w:val="00D4030B"/>
    <w:rsid w:val="00D45B3D"/>
    <w:rsid w:val="00D62293"/>
    <w:rsid w:val="00D70E27"/>
    <w:rsid w:val="00D93EF7"/>
    <w:rsid w:val="00D96450"/>
    <w:rsid w:val="00DA3396"/>
    <w:rsid w:val="00DB35AE"/>
    <w:rsid w:val="00DC2A9E"/>
    <w:rsid w:val="00DC6642"/>
    <w:rsid w:val="00DD62AA"/>
    <w:rsid w:val="00DE0028"/>
    <w:rsid w:val="00DF4512"/>
    <w:rsid w:val="00DF7461"/>
    <w:rsid w:val="00E02B90"/>
    <w:rsid w:val="00E03AA1"/>
    <w:rsid w:val="00E107BF"/>
    <w:rsid w:val="00E3247C"/>
    <w:rsid w:val="00E335F1"/>
    <w:rsid w:val="00E41AC1"/>
    <w:rsid w:val="00E44C7F"/>
    <w:rsid w:val="00E5708C"/>
    <w:rsid w:val="00E6438F"/>
    <w:rsid w:val="00E903B6"/>
    <w:rsid w:val="00E93AB1"/>
    <w:rsid w:val="00E970D3"/>
    <w:rsid w:val="00EB30F3"/>
    <w:rsid w:val="00ED2670"/>
    <w:rsid w:val="00EF23B4"/>
    <w:rsid w:val="00EF5916"/>
    <w:rsid w:val="00F15905"/>
    <w:rsid w:val="00F23BE5"/>
    <w:rsid w:val="00F3089C"/>
    <w:rsid w:val="00F318E5"/>
    <w:rsid w:val="00F422BE"/>
    <w:rsid w:val="00F46AA0"/>
    <w:rsid w:val="00F47A9E"/>
    <w:rsid w:val="00F65A32"/>
    <w:rsid w:val="00F73E42"/>
    <w:rsid w:val="00F75912"/>
    <w:rsid w:val="00FB1371"/>
    <w:rsid w:val="00FB4CFA"/>
    <w:rsid w:val="00FC24C1"/>
    <w:rsid w:val="00FC6AAC"/>
    <w:rsid w:val="00FD23EF"/>
    <w:rsid w:val="00FD60B6"/>
    <w:rsid w:val="00FD6D7B"/>
    <w:rsid w:val="00FD6FD4"/>
    <w:rsid w:val="00FF2603"/>
    <w:rsid w:val="00FF48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DB09E"/>
  <w15:chartTrackingRefBased/>
  <w15:docId w15:val="{9F7252B5-E2A5-443A-97C0-21E6BB4C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4FE"/>
    <w:pPr>
      <w:spacing w:after="200" w:line="276" w:lineRule="auto"/>
      <w:jc w:val="both"/>
    </w:pPr>
    <w:rPr>
      <w:rFonts w:ascii="Times New Roman" w:eastAsia="Verdana" w:hAnsi="Times New Roman" w:cs="Times New Roman"/>
      <w:szCs w:val="24"/>
    </w:rPr>
  </w:style>
  <w:style w:type="paragraph" w:styleId="Heading1">
    <w:name w:val="heading 1"/>
    <w:basedOn w:val="Normal"/>
    <w:next w:val="Normal"/>
    <w:link w:val="Heading1Char"/>
    <w:uiPriority w:val="9"/>
    <w:qFormat/>
    <w:rsid w:val="00A06CFB"/>
    <w:pPr>
      <w:keepNext/>
      <w:keepLines/>
      <w:spacing w:before="240" w:after="0" w:line="259" w:lineRule="auto"/>
      <w:jc w:val="left"/>
      <w:outlineLvl w:val="0"/>
    </w:pPr>
    <w:rPr>
      <w:rFonts w:asciiTheme="majorHAnsi" w:eastAsiaTheme="majorEastAsia" w:hAnsiTheme="majorHAnsi" w:cstheme="majorBidi"/>
      <w:color w:val="2E74B5" w:themeColor="accent1" w:themeShade="BF"/>
      <w:sz w:val="32"/>
      <w:szCs w:val="32"/>
      <w:lang w:val="en-US" w:bidi="ar-SA"/>
    </w:rPr>
  </w:style>
  <w:style w:type="paragraph" w:styleId="Heading2">
    <w:name w:val="heading 2"/>
    <w:basedOn w:val="Normal"/>
    <w:next w:val="Normal"/>
    <w:link w:val="Heading2Char"/>
    <w:uiPriority w:val="9"/>
    <w:semiHidden/>
    <w:unhideWhenUsed/>
    <w:qFormat/>
    <w:rsid w:val="00696EB5"/>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4">
    <w:name w:val="heading 4"/>
    <w:basedOn w:val="Normal"/>
    <w:next w:val="Normal"/>
    <w:link w:val="Heading4Char"/>
    <w:uiPriority w:val="9"/>
    <w:unhideWhenUsed/>
    <w:qFormat/>
    <w:rsid w:val="000E24FE"/>
    <w:pPr>
      <w:keepNext/>
      <w:spacing w:before="240" w:after="60"/>
      <w:outlineLvl w:val="3"/>
    </w:pPr>
    <w:rPr>
      <w:rFonts w:ascii="Calibri" w:eastAsia="Times New Roman" w:hAnsi="Calibri"/>
      <w:b/>
      <w:bCs/>
      <w:sz w:val="28"/>
      <w:szCs w:val="25"/>
      <w:lang w:val="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E24FE"/>
    <w:rPr>
      <w:rFonts w:ascii="Calibri" w:eastAsia="Times New Roman" w:hAnsi="Calibri" w:cs="Times New Roman"/>
      <w:b/>
      <w:bCs/>
      <w:sz w:val="28"/>
      <w:szCs w:val="25"/>
      <w:lang w:val="x-none" w:bidi="ar-SA"/>
    </w:rPr>
  </w:style>
  <w:style w:type="paragraph" w:customStyle="1" w:styleId="Default">
    <w:name w:val="Default"/>
    <w:rsid w:val="000E24FE"/>
    <w:pPr>
      <w:autoSpaceDE w:val="0"/>
      <w:autoSpaceDN w:val="0"/>
      <w:adjustRightInd w:val="0"/>
      <w:spacing w:after="0" w:line="240" w:lineRule="auto"/>
    </w:pPr>
    <w:rPr>
      <w:rFonts w:ascii="Times New Roman" w:eastAsia="Verdana" w:hAnsi="Times New Roman" w:cs="Times New Roman"/>
      <w:color w:val="000000"/>
      <w:sz w:val="24"/>
      <w:szCs w:val="24"/>
      <w:lang w:eastAsia="en-IN"/>
    </w:rPr>
  </w:style>
  <w:style w:type="paragraph" w:styleId="Header">
    <w:name w:val="header"/>
    <w:basedOn w:val="Normal"/>
    <w:link w:val="HeaderChar"/>
    <w:uiPriority w:val="99"/>
    <w:unhideWhenUsed/>
    <w:rsid w:val="000E24FE"/>
    <w:pPr>
      <w:tabs>
        <w:tab w:val="center" w:pos="4680"/>
        <w:tab w:val="right" w:pos="9360"/>
      </w:tabs>
    </w:pPr>
    <w:rPr>
      <w:rFonts w:cs="Mangal"/>
    </w:rPr>
  </w:style>
  <w:style w:type="character" w:customStyle="1" w:styleId="HeaderChar">
    <w:name w:val="Header Char"/>
    <w:basedOn w:val="DefaultParagraphFont"/>
    <w:link w:val="Header"/>
    <w:uiPriority w:val="99"/>
    <w:rsid w:val="000E24FE"/>
    <w:rPr>
      <w:rFonts w:ascii="Times New Roman" w:eastAsia="Verdana" w:hAnsi="Times New Roman" w:cs="Mangal"/>
      <w:szCs w:val="24"/>
    </w:rPr>
  </w:style>
  <w:style w:type="paragraph" w:styleId="Footer">
    <w:name w:val="footer"/>
    <w:basedOn w:val="Normal"/>
    <w:link w:val="FooterChar"/>
    <w:uiPriority w:val="99"/>
    <w:unhideWhenUsed/>
    <w:rsid w:val="00A06CFB"/>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06CFB"/>
    <w:rPr>
      <w:rFonts w:ascii="Times New Roman" w:eastAsia="Verdana" w:hAnsi="Times New Roman" w:cs="Mangal"/>
      <w:szCs w:val="24"/>
    </w:rPr>
  </w:style>
  <w:style w:type="character" w:customStyle="1" w:styleId="Heading1Char">
    <w:name w:val="Heading 1 Char"/>
    <w:basedOn w:val="DefaultParagraphFont"/>
    <w:link w:val="Heading1"/>
    <w:uiPriority w:val="9"/>
    <w:rsid w:val="00A06CFB"/>
    <w:rPr>
      <w:rFonts w:asciiTheme="majorHAnsi" w:eastAsiaTheme="majorEastAsia" w:hAnsiTheme="majorHAnsi" w:cstheme="majorBidi"/>
      <w:color w:val="2E74B5" w:themeColor="accent1" w:themeShade="BF"/>
      <w:sz w:val="32"/>
      <w:szCs w:val="32"/>
      <w:lang w:val="en-US" w:bidi="ar-SA"/>
    </w:rPr>
  </w:style>
  <w:style w:type="table" w:styleId="TableGrid">
    <w:name w:val="Table Grid"/>
    <w:basedOn w:val="TableNormal"/>
    <w:uiPriority w:val="39"/>
    <w:rsid w:val="00A06CFB"/>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051BC0"/>
    <w:pPr>
      <w:spacing w:after="0" w:line="240" w:lineRule="auto"/>
    </w:pPr>
    <w:rPr>
      <w:color w:val="000000" w:themeColor="text1"/>
      <w:szCs w:val="22"/>
      <w:lang w:bidi="ar-S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8D7F5F"/>
    <w:rPr>
      <w:color w:val="0563C1" w:themeColor="hyperlink"/>
      <w:u w:val="single"/>
    </w:rPr>
  </w:style>
  <w:style w:type="paragraph" w:styleId="ListParagraph">
    <w:name w:val="List Paragraph"/>
    <w:basedOn w:val="Normal"/>
    <w:uiPriority w:val="34"/>
    <w:qFormat/>
    <w:rsid w:val="001F702A"/>
    <w:pPr>
      <w:ind w:left="720"/>
      <w:contextualSpacing/>
      <w:jc w:val="left"/>
    </w:pPr>
    <w:rPr>
      <w:rFonts w:asciiTheme="minorHAnsi" w:eastAsiaTheme="minorHAnsi" w:hAnsiTheme="minorHAnsi" w:cstheme="minorBidi"/>
      <w:szCs w:val="22"/>
      <w:lang w:bidi="ar-SA"/>
    </w:rPr>
  </w:style>
  <w:style w:type="character" w:customStyle="1" w:styleId="Heading2Char">
    <w:name w:val="Heading 2 Char"/>
    <w:basedOn w:val="DefaultParagraphFont"/>
    <w:link w:val="Heading2"/>
    <w:uiPriority w:val="9"/>
    <w:semiHidden/>
    <w:rsid w:val="00696EB5"/>
    <w:rPr>
      <w:rFonts w:asciiTheme="majorHAnsi" w:eastAsiaTheme="majorEastAsia" w:hAnsiTheme="majorHAnsi" w:cstheme="majorBidi"/>
      <w:color w:val="2E74B5" w:themeColor="accent1" w:themeShade="BF"/>
      <w:sz w:val="26"/>
      <w:szCs w:val="23"/>
    </w:rPr>
  </w:style>
  <w:style w:type="paragraph" w:styleId="BalloonText">
    <w:name w:val="Balloon Text"/>
    <w:basedOn w:val="Normal"/>
    <w:link w:val="BalloonTextChar"/>
    <w:uiPriority w:val="99"/>
    <w:semiHidden/>
    <w:unhideWhenUsed/>
    <w:rsid w:val="00CA0AD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A0ADE"/>
    <w:rPr>
      <w:rFonts w:ascii="Segoe UI" w:eastAsia="Verdana" w:hAnsi="Segoe UI" w:cs="Mangal"/>
      <w:sz w:val="18"/>
      <w:szCs w:val="16"/>
    </w:rPr>
  </w:style>
  <w:style w:type="paragraph" w:styleId="Revision">
    <w:name w:val="Revision"/>
    <w:hidden/>
    <w:uiPriority w:val="99"/>
    <w:semiHidden/>
    <w:rsid w:val="00345CE2"/>
    <w:pPr>
      <w:spacing w:after="0" w:line="240" w:lineRule="auto"/>
    </w:pPr>
    <w:rPr>
      <w:rFonts w:ascii="Times New Roman" w:eastAsia="Verdana" w:hAnsi="Times New Roman" w:cs="Mangal"/>
      <w:szCs w:val="24"/>
    </w:rPr>
  </w:style>
  <w:style w:type="character" w:customStyle="1" w:styleId="PlainTextChar">
    <w:name w:val="Plain Text Char"/>
    <w:aliases w:val="Char Char"/>
    <w:link w:val="PlainText"/>
    <w:locked/>
    <w:rsid w:val="00275B9A"/>
    <w:rPr>
      <w:rFonts w:ascii="Courier New" w:eastAsia="Times New Roman" w:hAnsi="Courier New"/>
    </w:rPr>
  </w:style>
  <w:style w:type="paragraph" w:styleId="PlainText">
    <w:name w:val="Plain Text"/>
    <w:aliases w:val="Char"/>
    <w:basedOn w:val="Normal"/>
    <w:link w:val="PlainTextChar"/>
    <w:unhideWhenUsed/>
    <w:rsid w:val="00275B9A"/>
    <w:pPr>
      <w:spacing w:after="0" w:line="240" w:lineRule="auto"/>
      <w:jc w:val="left"/>
    </w:pPr>
    <w:rPr>
      <w:rFonts w:ascii="Courier New" w:eastAsia="Times New Roman" w:hAnsi="Courier New" w:cstheme="minorBidi"/>
      <w:szCs w:val="20"/>
    </w:rPr>
  </w:style>
  <w:style w:type="character" w:customStyle="1" w:styleId="PlainTextChar1">
    <w:name w:val="Plain Text Char1"/>
    <w:basedOn w:val="DefaultParagraphFont"/>
    <w:uiPriority w:val="99"/>
    <w:semiHidden/>
    <w:rsid w:val="00275B9A"/>
    <w:rPr>
      <w:rFonts w:ascii="Consolas" w:eastAsia="Verdana" w:hAnsi="Consolas" w:cs="Mangal"/>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8717">
      <w:bodyDiv w:val="1"/>
      <w:marLeft w:val="0"/>
      <w:marRight w:val="0"/>
      <w:marTop w:val="0"/>
      <w:marBottom w:val="0"/>
      <w:divBdr>
        <w:top w:val="none" w:sz="0" w:space="0" w:color="auto"/>
        <w:left w:val="none" w:sz="0" w:space="0" w:color="auto"/>
        <w:bottom w:val="none" w:sz="0" w:space="0" w:color="auto"/>
        <w:right w:val="none" w:sz="0" w:space="0" w:color="auto"/>
      </w:divBdr>
    </w:div>
    <w:div w:id="1366519548">
      <w:bodyDiv w:val="1"/>
      <w:marLeft w:val="0"/>
      <w:marRight w:val="0"/>
      <w:marTop w:val="0"/>
      <w:marBottom w:val="0"/>
      <w:divBdr>
        <w:top w:val="none" w:sz="0" w:space="0" w:color="auto"/>
        <w:left w:val="none" w:sz="0" w:space="0" w:color="auto"/>
        <w:bottom w:val="none" w:sz="0" w:space="0" w:color="auto"/>
        <w:right w:val="none" w:sz="0" w:space="0" w:color="auto"/>
      </w:divBdr>
    </w:div>
    <w:div w:id="1757751484">
      <w:bodyDiv w:val="1"/>
      <w:marLeft w:val="0"/>
      <w:marRight w:val="0"/>
      <w:marTop w:val="0"/>
      <w:marBottom w:val="0"/>
      <w:divBdr>
        <w:top w:val="none" w:sz="0" w:space="0" w:color="auto"/>
        <w:left w:val="none" w:sz="0" w:space="0" w:color="auto"/>
        <w:bottom w:val="none" w:sz="0" w:space="0" w:color="auto"/>
        <w:right w:val="none" w:sz="0" w:space="0" w:color="auto"/>
      </w:divBdr>
    </w:div>
    <w:div w:id="18099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AA03E-F551-425B-AC24-37B22F86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WRD</dc:creator>
  <cp:keywords/>
  <dc:description/>
  <cp:lastModifiedBy>hp</cp:lastModifiedBy>
  <cp:revision>22</cp:revision>
  <cp:lastPrinted>2024-02-07T11:01:00Z</cp:lastPrinted>
  <dcterms:created xsi:type="dcterms:W3CDTF">2024-02-08T09:09:00Z</dcterms:created>
  <dcterms:modified xsi:type="dcterms:W3CDTF">2024-03-04T04:12:00Z</dcterms:modified>
</cp:coreProperties>
</file>