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24CEB" w14:textId="77777777" w:rsidR="00136635" w:rsidRPr="00BB213F" w:rsidRDefault="007863BA" w:rsidP="00136635">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r w:rsidRPr="00812BAA">
        <w:rPr>
          <w:rFonts w:ascii="Times New Roman" w:eastAsia="Verdana" w:hAnsi="Times New Roman" w:cs="Times New Roman"/>
          <w:b/>
          <w:bCs/>
          <w:sz w:val="24"/>
          <w:szCs w:val="24"/>
          <w:lang w:val="en-IN"/>
        </w:rPr>
        <w:t xml:space="preserve">                      </w:t>
      </w:r>
      <w:r w:rsidR="00136635" w:rsidRPr="00BB213F">
        <w:rPr>
          <w:rFonts w:ascii="Times New Roman" w:hAnsi="Times New Roman" w:cs="Times New Roman"/>
          <w:b/>
          <w:bCs/>
          <w:iCs/>
          <w:noProof/>
          <w:sz w:val="28"/>
          <w:szCs w:val="28"/>
        </w:rPr>
        <mc:AlternateContent>
          <mc:Choice Requires="wps">
            <w:drawing>
              <wp:anchor distT="0" distB="0" distL="114300" distR="114300" simplePos="0" relativeHeight="251660288" behindDoc="0" locked="0" layoutInCell="1" allowOverlap="1" wp14:anchorId="5FAB5A3D" wp14:editId="4BB1B95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AD55D19" w14:textId="77777777" w:rsidR="00136635" w:rsidRPr="00422026" w:rsidRDefault="00136635" w:rsidP="00136635">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6617B06" w14:textId="77777777" w:rsidR="00136635" w:rsidRPr="00F20963" w:rsidRDefault="00136635" w:rsidP="00136635">
                            <w:pPr>
                              <w:spacing w:after="0" w:line="240" w:lineRule="auto"/>
                              <w:rPr>
                                <w:rFonts w:ascii="Arial" w:hAnsi="Arial" w:cs="Arial"/>
                                <w:b/>
                                <w:i/>
                                <w:sz w:val="28"/>
                                <w:szCs w:val="32"/>
                              </w:rPr>
                            </w:pPr>
                            <w:r w:rsidRPr="00F20963">
                              <w:rPr>
                                <w:rFonts w:ascii="Arial" w:hAnsi="Arial" w:cs="Arial"/>
                                <w:b/>
                                <w:i/>
                                <w:sz w:val="28"/>
                                <w:szCs w:val="32"/>
                              </w:rPr>
                              <w:t>Indian Standard</w:t>
                            </w:r>
                          </w:p>
                          <w:p w14:paraId="34B9613C" w14:textId="77777777" w:rsidR="00136635" w:rsidRPr="00C536D7" w:rsidRDefault="00136635" w:rsidP="0013663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B5A3D"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AD55D19" w14:textId="77777777" w:rsidR="00136635" w:rsidRPr="00422026" w:rsidRDefault="00136635" w:rsidP="00136635">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6617B06" w14:textId="77777777" w:rsidR="00136635" w:rsidRPr="00F20963" w:rsidRDefault="00136635" w:rsidP="00136635">
                      <w:pPr>
                        <w:spacing w:after="0" w:line="240" w:lineRule="auto"/>
                        <w:rPr>
                          <w:rFonts w:ascii="Arial" w:hAnsi="Arial" w:cs="Arial"/>
                          <w:b/>
                          <w:i/>
                          <w:sz w:val="28"/>
                          <w:szCs w:val="32"/>
                        </w:rPr>
                      </w:pPr>
                      <w:r w:rsidRPr="00F20963">
                        <w:rPr>
                          <w:rFonts w:ascii="Arial" w:hAnsi="Arial" w:cs="Arial"/>
                          <w:b/>
                          <w:i/>
                          <w:sz w:val="28"/>
                          <w:szCs w:val="32"/>
                        </w:rPr>
                        <w:t>Indian Standard</w:t>
                      </w:r>
                    </w:p>
                    <w:p w14:paraId="34B9613C" w14:textId="77777777" w:rsidR="00136635" w:rsidRPr="00C536D7" w:rsidRDefault="00136635" w:rsidP="00136635">
                      <w:pPr>
                        <w:spacing w:after="0"/>
                        <w:rPr>
                          <w:b/>
                          <w:i/>
                        </w:rPr>
                      </w:pPr>
                    </w:p>
                  </w:txbxContent>
                </v:textbox>
              </v:shape>
            </w:pict>
          </mc:Fallback>
        </mc:AlternateContent>
      </w:r>
    </w:p>
    <w:p w14:paraId="6684D415" w14:textId="033A5C84" w:rsidR="00136635" w:rsidRPr="00BB213F" w:rsidRDefault="00136635" w:rsidP="00136635">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r w:rsidRPr="00BB213F">
        <w:rPr>
          <w:rFonts w:ascii="Times New Roman" w:eastAsia="Times New Roman" w:hAnsi="Times New Roman" w:cs="Times New Roman"/>
          <w:b/>
          <w:color w:val="000000"/>
          <w:sz w:val="24"/>
          <w:szCs w:val="24"/>
          <w:lang w:val="fr-FR"/>
        </w:rPr>
        <w:t>Doc : PCD 07 (25211) F</w:t>
      </w:r>
    </w:p>
    <w:p w14:paraId="1ACDA964" w14:textId="649E049B" w:rsidR="00136635" w:rsidRPr="00BB213F" w:rsidRDefault="00136635" w:rsidP="00BB213F">
      <w:pPr>
        <w:autoSpaceDE w:val="0"/>
        <w:autoSpaceDN w:val="0"/>
        <w:adjustRightInd w:val="0"/>
        <w:spacing w:after="0" w:line="240" w:lineRule="auto"/>
        <w:ind w:left="3510" w:right="-540" w:firstLine="2880"/>
        <w:rPr>
          <w:rFonts w:ascii="Times New Roman" w:eastAsia="Times New Roman" w:hAnsi="Times New Roman" w:cs="Times New Roman"/>
          <w:b/>
          <w:color w:val="000000"/>
          <w:sz w:val="24"/>
          <w:szCs w:val="24"/>
          <w:lang w:val="fr-FR"/>
        </w:rPr>
      </w:pPr>
      <w:r w:rsidRPr="00BB213F">
        <w:rPr>
          <w:rFonts w:ascii="Times New Roman" w:eastAsia="Times New Roman" w:hAnsi="Times New Roman" w:cs="Times New Roman"/>
          <w:b/>
          <w:color w:val="000000"/>
          <w:sz w:val="24"/>
          <w:szCs w:val="24"/>
          <w:lang w:val="fr-FR"/>
        </w:rPr>
        <w:t>IS XXXX : 2024</w:t>
      </w:r>
    </w:p>
    <w:p w14:paraId="5EE828E2" w14:textId="1F446D0E" w:rsidR="00136635" w:rsidRPr="00BB213F" w:rsidRDefault="00136635" w:rsidP="00136635">
      <w:pPr>
        <w:autoSpaceDE w:val="0"/>
        <w:autoSpaceDN w:val="0"/>
        <w:adjustRightInd w:val="0"/>
        <w:spacing w:after="0" w:line="240" w:lineRule="auto"/>
        <w:ind w:left="3510" w:right="74" w:firstLine="2880"/>
        <w:rPr>
          <w:rFonts w:ascii="Times New Roman" w:eastAsia="Times New Roman" w:hAnsi="Times New Roman" w:cs="Times New Roman"/>
          <w:b/>
          <w:color w:val="000000"/>
          <w:sz w:val="24"/>
          <w:szCs w:val="24"/>
          <w:lang w:val="fr-FR"/>
        </w:rPr>
      </w:pPr>
      <w:r w:rsidRPr="00BB213F">
        <w:rPr>
          <w:rFonts w:ascii="Times New Roman" w:eastAsia="Times New Roman" w:hAnsi="Times New Roman" w:cs="Times New Roman"/>
          <w:b/>
          <w:color w:val="000000"/>
          <w:sz w:val="24"/>
          <w:szCs w:val="24"/>
          <w:lang w:val="fr-FR"/>
        </w:rPr>
        <w:t>ISO 16967 : 2015</w:t>
      </w:r>
    </w:p>
    <w:p w14:paraId="2ED1D351" w14:textId="6B91233E" w:rsidR="00136635" w:rsidRPr="00BB213F" w:rsidRDefault="00136635" w:rsidP="00BB213F">
      <w:pPr>
        <w:autoSpaceDE w:val="0"/>
        <w:autoSpaceDN w:val="0"/>
        <w:adjustRightInd w:val="0"/>
        <w:spacing w:after="0" w:line="240" w:lineRule="auto"/>
        <w:ind w:right="74"/>
        <w:jc w:val="both"/>
        <w:rPr>
          <w:rFonts w:ascii="Times New Roman" w:eastAsia="Times New Roman" w:hAnsi="Times New Roman" w:cs="Times New Roman"/>
          <w:bCs/>
          <w:i/>
          <w:iCs/>
          <w:color w:val="000000"/>
          <w:sz w:val="20"/>
          <w:lang w:val="fr-FR"/>
        </w:rPr>
      </w:pPr>
    </w:p>
    <w:p w14:paraId="42A489F7" w14:textId="77777777" w:rsidR="00136635" w:rsidRPr="00BB213F" w:rsidRDefault="00136635" w:rsidP="00136635">
      <w:pPr>
        <w:spacing w:after="0" w:line="240" w:lineRule="auto"/>
        <w:ind w:left="3510"/>
        <w:jc w:val="right"/>
        <w:rPr>
          <w:rFonts w:ascii="Times New Roman" w:hAnsi="Times New Roman" w:cs="Times New Roman"/>
          <w:sz w:val="24"/>
          <w:szCs w:val="24"/>
        </w:rPr>
      </w:pPr>
      <w:r w:rsidRPr="00BB213F">
        <w:rPr>
          <w:rFonts w:ascii="Times New Roman" w:hAnsi="Times New Roman" w:cs="Times New Roman"/>
          <w:noProof/>
          <w:position w:val="-1"/>
          <w:sz w:val="10"/>
        </w:rPr>
        <mc:AlternateContent>
          <mc:Choice Requires="wpg">
            <w:drawing>
              <wp:inline distT="0" distB="0" distL="0" distR="0" wp14:anchorId="7C211181" wp14:editId="1BA9713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65C2F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D4DA3C5" w14:textId="77777777" w:rsidR="00136635" w:rsidRPr="00BB213F" w:rsidRDefault="00136635" w:rsidP="00136635">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12"/>
          <w:szCs w:val="12"/>
          <w:cs/>
        </w:rPr>
      </w:pP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r w:rsidRPr="00BB213F">
        <w:rPr>
          <w:rFonts w:ascii="Times New Roman" w:eastAsia="Times New Roman" w:hAnsi="Times New Roman" w:cs="Times New Roman"/>
          <w:iCs/>
          <w:color w:val="222222"/>
          <w:sz w:val="12"/>
          <w:szCs w:val="12"/>
        </w:rPr>
        <w:tab/>
      </w:r>
    </w:p>
    <w:p w14:paraId="66908AA4" w14:textId="520EE39C" w:rsidR="00136635" w:rsidRPr="00BB213F" w:rsidRDefault="00136635" w:rsidP="00136635">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52"/>
          <w:szCs w:val="52"/>
        </w:rPr>
      </w:pPr>
      <w:r w:rsidRPr="00812BAA">
        <w:rPr>
          <w:rFonts w:ascii="Kokila" w:eastAsia="Times New Roman" w:hAnsi="Kokila" w:cs="Kokila"/>
          <w:b/>
          <w:bCs/>
          <w:i/>
          <w:color w:val="222222"/>
          <w:sz w:val="52"/>
          <w:szCs w:val="52"/>
          <w:cs/>
        </w:rPr>
        <w:t>ठोस</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जैव</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ईंधन</w:t>
      </w:r>
      <w:r w:rsidRPr="00BB213F">
        <w:rPr>
          <w:rFonts w:ascii="Times New Roman" w:eastAsia="Times New Roman" w:hAnsi="Times New Roman" w:cs="Times New Roman"/>
          <w:b/>
          <w:bCs/>
          <w:i/>
          <w:color w:val="222222"/>
          <w:sz w:val="52"/>
          <w:szCs w:val="52"/>
          <w:cs/>
        </w:rPr>
        <w:t xml:space="preserve"> </w:t>
      </w:r>
      <w:r w:rsidRPr="00BB213F">
        <w:rPr>
          <w:rFonts w:ascii="Times New Roman" w:eastAsia="Times New Roman" w:hAnsi="Times New Roman" w:cs="Times New Roman"/>
          <w:b/>
          <w:bCs/>
          <w:i/>
          <w:color w:val="222222"/>
          <w:sz w:val="52"/>
          <w:szCs w:val="52"/>
        </w:rPr>
        <w:t>––</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प्रमुख</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तत्वों</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का</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निर्धारण</w:t>
      </w:r>
      <w:r w:rsidRPr="00BB213F">
        <w:rPr>
          <w:rFonts w:ascii="Times New Roman" w:eastAsia="Times New Roman" w:hAnsi="Times New Roman" w:cs="Times New Roman"/>
          <w:b/>
          <w:bCs/>
          <w:i/>
          <w:color w:val="222222"/>
          <w:sz w:val="52"/>
          <w:szCs w:val="52"/>
          <w:cs/>
        </w:rPr>
        <w:t xml:space="preserve"> – </w:t>
      </w:r>
      <w:r w:rsidRPr="00812BAA">
        <w:rPr>
          <w:rFonts w:ascii="Kokila" w:eastAsia="Times New Roman" w:hAnsi="Kokila" w:cs="Kokila"/>
          <w:b/>
          <w:bCs/>
          <w:i/>
          <w:color w:val="222222"/>
          <w:sz w:val="52"/>
          <w:szCs w:val="52"/>
          <w:cs/>
        </w:rPr>
        <w:t>अल</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सीए</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एफइ</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एमजी</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पी</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के</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एसआई</w:t>
      </w:r>
      <w:r w:rsidRPr="00BB213F">
        <w:rPr>
          <w:rFonts w:ascii="Times New Roman" w:eastAsia="Times New Roman" w:hAnsi="Times New Roman" w:cs="Times New Roman"/>
          <w:b/>
          <w:bCs/>
          <w:i/>
          <w:color w:val="222222"/>
          <w:sz w:val="52"/>
          <w:szCs w:val="52"/>
        </w:rPr>
        <w:t xml:space="preserve">, </w:t>
      </w:r>
      <w:r w:rsidRPr="00812BAA">
        <w:rPr>
          <w:rFonts w:ascii="Kokila" w:eastAsia="Times New Roman" w:hAnsi="Kokila" w:cs="Kokila"/>
          <w:b/>
          <w:bCs/>
          <w:i/>
          <w:color w:val="222222"/>
          <w:sz w:val="52"/>
          <w:szCs w:val="52"/>
          <w:cs/>
        </w:rPr>
        <w:t>एनए</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और</w:t>
      </w:r>
      <w:r w:rsidRPr="00BB213F">
        <w:rPr>
          <w:rFonts w:ascii="Times New Roman" w:eastAsia="Times New Roman" w:hAnsi="Times New Roman" w:cs="Times New Roman"/>
          <w:b/>
          <w:bCs/>
          <w:i/>
          <w:color w:val="222222"/>
          <w:sz w:val="52"/>
          <w:szCs w:val="52"/>
          <w:cs/>
        </w:rPr>
        <w:t xml:space="preserve"> </w:t>
      </w:r>
      <w:r w:rsidRPr="00812BAA">
        <w:rPr>
          <w:rFonts w:ascii="Kokila" w:eastAsia="Times New Roman" w:hAnsi="Kokila" w:cs="Kokila"/>
          <w:b/>
          <w:bCs/>
          <w:i/>
          <w:color w:val="222222"/>
          <w:sz w:val="52"/>
          <w:szCs w:val="52"/>
          <w:cs/>
        </w:rPr>
        <w:t>टीआई</w:t>
      </w:r>
    </w:p>
    <w:p w14:paraId="393EDCAC" w14:textId="4FC47AE6" w:rsidR="00136635" w:rsidRPr="00BB213F" w:rsidRDefault="00136635" w:rsidP="00136635">
      <w:pPr>
        <w:widowControl w:val="0"/>
        <w:tabs>
          <w:tab w:val="left" w:pos="426"/>
        </w:tabs>
        <w:autoSpaceDE w:val="0"/>
        <w:autoSpaceDN w:val="0"/>
        <w:adjustRightInd w:val="0"/>
        <w:spacing w:before="120" w:after="120" w:line="240" w:lineRule="auto"/>
        <w:rPr>
          <w:rFonts w:ascii="Times New Roman" w:eastAsia="Times New Roman" w:hAnsi="Times New Roman" w:cs="Times New Roman"/>
          <w:b/>
          <w:bCs/>
          <w:i/>
          <w:color w:val="222222"/>
          <w:sz w:val="36"/>
          <w:szCs w:val="36"/>
        </w:rPr>
      </w:pPr>
    </w:p>
    <w:p w14:paraId="3FABB29B" w14:textId="77777777" w:rsidR="00DC5C45" w:rsidRPr="00BB213F" w:rsidRDefault="00DC5C45" w:rsidP="00136635">
      <w:pPr>
        <w:widowControl w:val="0"/>
        <w:tabs>
          <w:tab w:val="left" w:pos="426"/>
        </w:tabs>
        <w:autoSpaceDE w:val="0"/>
        <w:autoSpaceDN w:val="0"/>
        <w:adjustRightInd w:val="0"/>
        <w:spacing w:before="120" w:after="120" w:line="240" w:lineRule="auto"/>
        <w:rPr>
          <w:rFonts w:ascii="Times New Roman" w:eastAsia="Times New Roman" w:hAnsi="Times New Roman" w:cs="Times New Roman"/>
          <w:b/>
          <w:bCs/>
          <w:i/>
          <w:color w:val="222222"/>
          <w:sz w:val="36"/>
          <w:szCs w:val="36"/>
        </w:rPr>
      </w:pPr>
    </w:p>
    <w:p w14:paraId="3BA48AFA" w14:textId="263BDFE2" w:rsidR="00136635" w:rsidRPr="00BB213F" w:rsidRDefault="00136635" w:rsidP="00136635">
      <w:pPr>
        <w:pStyle w:val="PlainText"/>
        <w:spacing w:before="120" w:after="120" w:line="276" w:lineRule="auto"/>
        <w:ind w:left="3510"/>
        <w:jc w:val="center"/>
        <w:rPr>
          <w:rFonts w:ascii="Times New Roman" w:hAnsi="Times New Roman"/>
          <w:b/>
          <w:bCs/>
          <w:iCs/>
          <w:sz w:val="36"/>
          <w:szCs w:val="36"/>
        </w:rPr>
      </w:pPr>
      <w:r w:rsidRPr="00BB213F">
        <w:rPr>
          <w:rFonts w:ascii="Times New Roman" w:hAnsi="Times New Roman"/>
          <w:b/>
          <w:bCs/>
          <w:iCs/>
          <w:sz w:val="36"/>
          <w:szCs w:val="36"/>
        </w:rPr>
        <w:t xml:space="preserve">Solid Biofuels — Determination of Major Elements — Al, Ca, Fe, Mg, P, K, Si, Na </w:t>
      </w:r>
      <w:r w:rsidR="0028227C" w:rsidRPr="00BB213F">
        <w:rPr>
          <w:rFonts w:ascii="Times New Roman" w:hAnsi="Times New Roman"/>
          <w:b/>
          <w:bCs/>
          <w:iCs/>
          <w:sz w:val="36"/>
          <w:szCs w:val="36"/>
        </w:rPr>
        <w:t xml:space="preserve">and </w:t>
      </w:r>
      <w:r w:rsidRPr="00BB213F">
        <w:rPr>
          <w:rFonts w:ascii="Times New Roman" w:hAnsi="Times New Roman"/>
          <w:b/>
          <w:bCs/>
          <w:iCs/>
          <w:sz w:val="36"/>
          <w:szCs w:val="36"/>
        </w:rPr>
        <w:t>Ti</w:t>
      </w:r>
    </w:p>
    <w:p w14:paraId="0AB11ED2" w14:textId="77777777" w:rsidR="00136635" w:rsidRPr="00BB213F" w:rsidRDefault="00136635" w:rsidP="00136635">
      <w:pPr>
        <w:pStyle w:val="PlainText"/>
        <w:rPr>
          <w:rFonts w:ascii="Times New Roman" w:eastAsia="PMingLiU" w:hAnsi="Times New Roman"/>
          <w:sz w:val="24"/>
          <w:szCs w:val="24"/>
          <w:lang w:eastAsia="zh-TW"/>
        </w:rPr>
      </w:pPr>
    </w:p>
    <w:p w14:paraId="47F81D87" w14:textId="77777777" w:rsidR="00136635" w:rsidRPr="00BB213F" w:rsidRDefault="00136635" w:rsidP="00136635">
      <w:pPr>
        <w:pStyle w:val="PlainText"/>
        <w:rPr>
          <w:rFonts w:ascii="Times New Roman" w:eastAsia="PMingLiU" w:hAnsi="Times New Roman"/>
          <w:sz w:val="24"/>
          <w:szCs w:val="24"/>
          <w:lang w:eastAsia="zh-TW"/>
        </w:rPr>
      </w:pPr>
    </w:p>
    <w:p w14:paraId="1491A993" w14:textId="0E911C83" w:rsidR="00136635" w:rsidRPr="00BB213F" w:rsidRDefault="00136635" w:rsidP="00136635">
      <w:pPr>
        <w:pStyle w:val="PlainText"/>
        <w:ind w:left="3510"/>
        <w:jc w:val="center"/>
        <w:rPr>
          <w:rFonts w:ascii="Times New Roman" w:eastAsia="PMingLiU" w:hAnsi="Times New Roman"/>
          <w:bCs/>
          <w:sz w:val="24"/>
          <w:szCs w:val="24"/>
          <w:lang w:eastAsia="zh-TW"/>
        </w:rPr>
      </w:pPr>
      <w:r w:rsidRPr="00BB213F">
        <w:rPr>
          <w:rFonts w:ascii="Times New Roman" w:eastAsia="PMingLiU" w:hAnsi="Times New Roman"/>
          <w:bCs/>
          <w:sz w:val="24"/>
          <w:szCs w:val="24"/>
          <w:lang w:eastAsia="zh-TW"/>
        </w:rPr>
        <w:t xml:space="preserve">ICS </w:t>
      </w:r>
      <w:r w:rsidR="00F46725" w:rsidRPr="00BB213F">
        <w:rPr>
          <w:rFonts w:ascii="Times New Roman" w:eastAsia="PMingLiU" w:hAnsi="Times New Roman"/>
          <w:bCs/>
          <w:sz w:val="24"/>
          <w:szCs w:val="24"/>
          <w:lang w:eastAsia="zh-TW"/>
        </w:rPr>
        <w:t>75.160.40</w:t>
      </w:r>
    </w:p>
    <w:p w14:paraId="3323249A" w14:textId="77777777" w:rsidR="00136635" w:rsidRPr="00BB213F" w:rsidRDefault="00136635" w:rsidP="00136635">
      <w:pPr>
        <w:pStyle w:val="PlainText"/>
        <w:ind w:left="3510"/>
        <w:jc w:val="center"/>
        <w:rPr>
          <w:rFonts w:ascii="Times New Roman" w:hAnsi="Times New Roman"/>
          <w:sz w:val="24"/>
          <w:szCs w:val="24"/>
        </w:rPr>
      </w:pPr>
    </w:p>
    <w:p w14:paraId="663FE443" w14:textId="77777777" w:rsidR="00136635" w:rsidRPr="00BB213F" w:rsidRDefault="00136635" w:rsidP="00136635">
      <w:pPr>
        <w:pStyle w:val="PlainText"/>
        <w:jc w:val="center"/>
        <w:rPr>
          <w:rFonts w:ascii="Times New Roman" w:hAnsi="Times New Roman"/>
          <w:sz w:val="24"/>
          <w:szCs w:val="24"/>
        </w:rPr>
      </w:pPr>
    </w:p>
    <w:p w14:paraId="3C24C0A5" w14:textId="77777777" w:rsidR="00136635" w:rsidRPr="00BB213F" w:rsidRDefault="00136635" w:rsidP="00136635">
      <w:pPr>
        <w:pStyle w:val="PlainText"/>
        <w:rPr>
          <w:rFonts w:ascii="Times New Roman" w:hAnsi="Times New Roman"/>
          <w:sz w:val="24"/>
          <w:szCs w:val="24"/>
        </w:rPr>
      </w:pPr>
    </w:p>
    <w:p w14:paraId="68FF5FC4" w14:textId="77777777" w:rsidR="00136635" w:rsidRPr="00BB213F" w:rsidRDefault="00136635" w:rsidP="00136635">
      <w:pPr>
        <w:pStyle w:val="PlainText"/>
        <w:rPr>
          <w:rFonts w:ascii="Times New Roman" w:hAnsi="Times New Roman"/>
          <w:sz w:val="24"/>
          <w:szCs w:val="24"/>
        </w:rPr>
      </w:pPr>
    </w:p>
    <w:p w14:paraId="2809DCA3" w14:textId="2DF75E9D" w:rsidR="00136635" w:rsidRPr="00BB213F" w:rsidRDefault="00136635" w:rsidP="00136635">
      <w:pPr>
        <w:spacing w:after="0" w:line="240" w:lineRule="auto"/>
        <w:ind w:left="3510"/>
        <w:jc w:val="center"/>
        <w:rPr>
          <w:rFonts w:ascii="Times New Roman" w:hAnsi="Times New Roman" w:cs="Times New Roman"/>
          <w:sz w:val="24"/>
          <w:szCs w:val="24"/>
        </w:rPr>
      </w:pPr>
      <w:r w:rsidRPr="00BB213F">
        <w:rPr>
          <w:rFonts w:ascii="Times New Roman" w:hAnsi="Times New Roman" w:cs="Times New Roman"/>
          <w:sz w:val="24"/>
          <w:szCs w:val="24"/>
        </w:rPr>
        <w:sym w:font="Symbol" w:char="00D3"/>
      </w:r>
      <w:r w:rsidRPr="00BB213F">
        <w:rPr>
          <w:rFonts w:ascii="Times New Roman" w:hAnsi="Times New Roman" w:cs="Times New Roman"/>
          <w:sz w:val="24"/>
          <w:szCs w:val="24"/>
        </w:rPr>
        <w:t xml:space="preserve"> BIS 202</w:t>
      </w:r>
      <w:r w:rsidR="00B65AE4" w:rsidRPr="00BB213F">
        <w:rPr>
          <w:rFonts w:ascii="Times New Roman" w:hAnsi="Times New Roman" w:cs="Times New Roman"/>
          <w:sz w:val="24"/>
          <w:szCs w:val="24"/>
        </w:rPr>
        <w:t>4</w:t>
      </w:r>
    </w:p>
    <w:p w14:paraId="1D622B6A" w14:textId="68EA3E53" w:rsidR="00136635" w:rsidRPr="00BB213F" w:rsidRDefault="00136635" w:rsidP="00136635">
      <w:pPr>
        <w:spacing w:after="0" w:line="240" w:lineRule="auto"/>
        <w:ind w:left="3510"/>
        <w:jc w:val="center"/>
        <w:rPr>
          <w:rFonts w:ascii="Times New Roman" w:hAnsi="Times New Roman" w:cs="Times New Roman"/>
          <w:sz w:val="24"/>
          <w:szCs w:val="24"/>
        </w:rPr>
      </w:pPr>
      <w:r w:rsidRPr="00BB213F">
        <w:rPr>
          <w:rFonts w:ascii="Times New Roman" w:hAnsi="Times New Roman" w:cs="Times New Roman"/>
          <w:sz w:val="24"/>
          <w:szCs w:val="24"/>
        </w:rPr>
        <w:sym w:font="Symbol" w:char="00D3"/>
      </w:r>
      <w:r w:rsidRPr="00BB213F">
        <w:rPr>
          <w:rFonts w:ascii="Times New Roman" w:hAnsi="Times New Roman" w:cs="Times New Roman"/>
          <w:sz w:val="24"/>
          <w:szCs w:val="24"/>
        </w:rPr>
        <w:t xml:space="preserve"> ISO 20</w:t>
      </w:r>
      <w:r w:rsidR="00B65AE4" w:rsidRPr="00BB213F">
        <w:rPr>
          <w:rFonts w:ascii="Times New Roman" w:hAnsi="Times New Roman" w:cs="Times New Roman"/>
          <w:sz w:val="24"/>
          <w:szCs w:val="24"/>
        </w:rPr>
        <w:t>15</w:t>
      </w:r>
    </w:p>
    <w:p w14:paraId="5A283EF3" w14:textId="77777777" w:rsidR="00136635" w:rsidRPr="00BB213F" w:rsidRDefault="00136635" w:rsidP="00136635">
      <w:pPr>
        <w:spacing w:after="0" w:line="240" w:lineRule="auto"/>
        <w:ind w:left="3510"/>
        <w:jc w:val="center"/>
        <w:rPr>
          <w:rFonts w:ascii="Times New Roman" w:hAnsi="Times New Roman" w:cs="Times New Roman"/>
          <w:sz w:val="24"/>
          <w:szCs w:val="24"/>
        </w:rPr>
      </w:pPr>
      <w:r w:rsidRPr="00BB213F">
        <w:rPr>
          <w:rFonts w:ascii="Times New Roman" w:hAnsi="Times New Roman" w:cs="Times New Roman"/>
          <w:sz w:val="24"/>
          <w:szCs w:val="24"/>
        </w:rPr>
        <w:t xml:space="preserve">  </w:t>
      </w:r>
    </w:p>
    <w:p w14:paraId="5503C804" w14:textId="77777777" w:rsidR="00136635" w:rsidRPr="00BB213F" w:rsidRDefault="00136635" w:rsidP="00136635">
      <w:pPr>
        <w:spacing w:after="0" w:line="240" w:lineRule="auto"/>
        <w:ind w:left="3510"/>
        <w:jc w:val="center"/>
        <w:rPr>
          <w:rFonts w:ascii="Times New Roman" w:hAnsi="Times New Roman" w:cs="Times New Roman"/>
          <w:sz w:val="24"/>
          <w:szCs w:val="24"/>
        </w:rPr>
      </w:pPr>
    </w:p>
    <w:p w14:paraId="0D1D3632" w14:textId="77777777" w:rsidR="00136635" w:rsidRPr="00BB213F" w:rsidRDefault="00136635" w:rsidP="00136635">
      <w:pPr>
        <w:spacing w:after="0" w:line="240" w:lineRule="auto"/>
        <w:ind w:left="3510"/>
        <w:jc w:val="center"/>
        <w:rPr>
          <w:rFonts w:ascii="Times New Roman" w:hAnsi="Times New Roman" w:cs="Times New Roman"/>
          <w:sz w:val="24"/>
          <w:szCs w:val="24"/>
        </w:rPr>
      </w:pPr>
      <w:r w:rsidRPr="00BB213F">
        <w:rPr>
          <w:rFonts w:ascii="Times New Roman" w:hAnsi="Times New Roman" w:cs="Times New Roman"/>
          <w:noProof/>
          <w:position w:val="-1"/>
          <w:sz w:val="10"/>
        </w:rPr>
        <mc:AlternateContent>
          <mc:Choice Requires="wpg">
            <w:drawing>
              <wp:inline distT="0" distB="0" distL="0" distR="0" wp14:anchorId="4E68D518" wp14:editId="26C3E79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75367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34B4CF7E" w14:textId="77777777" w:rsidR="00136635" w:rsidRPr="00BB213F" w:rsidRDefault="00136635" w:rsidP="00136635">
      <w:pPr>
        <w:spacing w:after="0" w:line="240" w:lineRule="auto"/>
        <w:ind w:left="3510"/>
        <w:jc w:val="both"/>
        <w:rPr>
          <w:rFonts w:ascii="Times New Roman" w:hAnsi="Times New Roman" w:cs="Times New Roman"/>
          <w:sz w:val="24"/>
          <w:szCs w:val="24"/>
        </w:rPr>
      </w:pPr>
    </w:p>
    <w:p w14:paraId="1788D883" w14:textId="77777777" w:rsidR="00136635" w:rsidRPr="00BB213F" w:rsidRDefault="00000000" w:rsidP="00BB213F">
      <w:pPr>
        <w:spacing w:after="0" w:line="240" w:lineRule="auto"/>
        <w:ind w:left="4860" w:right="-540"/>
        <w:jc w:val="center"/>
        <w:rPr>
          <w:rFonts w:ascii="Times New Roman" w:hAnsi="Times New Roman" w:cs="Times New Roman"/>
          <w:b/>
          <w:bCs/>
          <w:caps/>
          <w:sz w:val="36"/>
          <w:szCs w:val="36"/>
        </w:rPr>
      </w:pPr>
      <w:r>
        <w:rPr>
          <w:rFonts w:ascii="Times New Roman" w:hAnsi="Times New Roman" w:cs="Times New Roman"/>
          <w:sz w:val="36"/>
          <w:szCs w:val="36"/>
          <w:lang w:bidi="ar-SA"/>
        </w:rPr>
        <w:object w:dxaOrig="1440" w:dyaOrig="1440" w14:anchorId="0E7B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6" o:title=""/>
          </v:shape>
          <o:OLEObject Type="Embed" ProgID="MSPhotoEd.3" ShapeID="_x0000_s1026" DrawAspect="Content" ObjectID="_1795500877" r:id="rId7"/>
        </w:object>
      </w:r>
      <w:r w:rsidR="00136635" w:rsidRPr="00812BAA">
        <w:rPr>
          <w:rFonts w:ascii="Kokila" w:hAnsi="Kokila" w:cs="Kokila"/>
          <w:caps/>
          <w:sz w:val="36"/>
          <w:szCs w:val="36"/>
          <w:cs/>
        </w:rPr>
        <w:t>भारतीय</w:t>
      </w:r>
      <w:r w:rsidR="00136635" w:rsidRPr="00BB213F">
        <w:rPr>
          <w:rFonts w:ascii="Times New Roman" w:hAnsi="Times New Roman" w:cs="Times New Roman"/>
          <w:caps/>
          <w:sz w:val="36"/>
          <w:szCs w:val="36"/>
          <w:cs/>
        </w:rPr>
        <w:t xml:space="preserve"> </w:t>
      </w:r>
      <w:r w:rsidR="00136635" w:rsidRPr="00812BAA">
        <w:rPr>
          <w:rFonts w:ascii="Kokila" w:hAnsi="Kokila" w:cs="Kokila"/>
          <w:caps/>
          <w:sz w:val="36"/>
          <w:szCs w:val="36"/>
          <w:cs/>
        </w:rPr>
        <w:t>मानक</w:t>
      </w:r>
      <w:r w:rsidR="00136635" w:rsidRPr="00BB213F">
        <w:rPr>
          <w:rFonts w:ascii="Times New Roman" w:hAnsi="Times New Roman" w:cs="Times New Roman"/>
          <w:caps/>
          <w:sz w:val="36"/>
          <w:szCs w:val="36"/>
          <w:cs/>
        </w:rPr>
        <w:t xml:space="preserve"> </w:t>
      </w:r>
      <w:r w:rsidR="00136635" w:rsidRPr="00812BAA">
        <w:rPr>
          <w:rFonts w:ascii="Kokila" w:hAnsi="Kokila" w:cs="Kokila"/>
          <w:caps/>
          <w:sz w:val="36"/>
          <w:szCs w:val="36"/>
          <w:cs/>
        </w:rPr>
        <w:t>ब्यूरो</w:t>
      </w:r>
    </w:p>
    <w:p w14:paraId="77E6D4DB" w14:textId="77777777" w:rsidR="00136635" w:rsidRPr="00BB213F" w:rsidRDefault="00136635" w:rsidP="00BB213F">
      <w:pPr>
        <w:autoSpaceDE w:val="0"/>
        <w:autoSpaceDN w:val="0"/>
        <w:adjustRightInd w:val="0"/>
        <w:spacing w:after="0" w:line="240" w:lineRule="auto"/>
        <w:ind w:left="4860" w:right="-540"/>
        <w:jc w:val="center"/>
        <w:rPr>
          <w:rFonts w:ascii="Times New Roman" w:hAnsi="Times New Roman" w:cs="Times New Roman"/>
          <w:bCs/>
          <w:color w:val="231F20"/>
          <w:spacing w:val="22"/>
          <w:sz w:val="24"/>
        </w:rPr>
      </w:pPr>
      <w:r w:rsidRPr="00BB213F">
        <w:rPr>
          <w:rFonts w:ascii="Times New Roman" w:hAnsi="Times New Roman" w:cs="Times New Roman"/>
          <w:bCs/>
          <w:color w:val="231F20"/>
          <w:spacing w:val="22"/>
          <w:sz w:val="24"/>
        </w:rPr>
        <w:t>BUREAU OF INDIAN STANDARDS</w:t>
      </w:r>
    </w:p>
    <w:p w14:paraId="6D80C965" w14:textId="77777777" w:rsidR="00136635" w:rsidRPr="00BB213F" w:rsidRDefault="00136635" w:rsidP="00BB213F">
      <w:pPr>
        <w:spacing w:after="0" w:line="240" w:lineRule="auto"/>
        <w:ind w:left="4860" w:right="-540"/>
        <w:jc w:val="center"/>
        <w:rPr>
          <w:rFonts w:ascii="Times New Roman" w:hAnsi="Times New Roman" w:cs="Times New Roman"/>
          <w:b/>
          <w:bCs/>
          <w:color w:val="231F20"/>
          <w:spacing w:val="22"/>
          <w:sz w:val="44"/>
          <w:szCs w:val="44"/>
        </w:rPr>
      </w:pPr>
      <w:r w:rsidRPr="00812BAA">
        <w:rPr>
          <w:rFonts w:ascii="Kokila" w:hAnsi="Kokila" w:cs="Kokila"/>
          <w:caps/>
          <w:sz w:val="32"/>
          <w:szCs w:val="32"/>
          <w:cs/>
        </w:rPr>
        <w:t>मानक</w:t>
      </w:r>
      <w:r w:rsidRPr="00BB213F">
        <w:rPr>
          <w:rFonts w:ascii="Times New Roman" w:hAnsi="Times New Roman" w:cs="Times New Roman"/>
          <w:caps/>
          <w:sz w:val="32"/>
          <w:szCs w:val="32"/>
          <w:cs/>
        </w:rPr>
        <w:t xml:space="preserve"> </w:t>
      </w:r>
      <w:r w:rsidRPr="00812BAA">
        <w:rPr>
          <w:rFonts w:ascii="Kokila" w:hAnsi="Kokila" w:cs="Kokila"/>
          <w:caps/>
          <w:sz w:val="32"/>
          <w:szCs w:val="32"/>
          <w:cs/>
        </w:rPr>
        <w:t>भवन</w:t>
      </w:r>
      <w:r w:rsidRPr="00BB213F">
        <w:rPr>
          <w:rFonts w:ascii="Times New Roman" w:hAnsi="Times New Roman" w:cs="Times New Roman"/>
          <w:caps/>
          <w:sz w:val="32"/>
          <w:szCs w:val="32"/>
        </w:rPr>
        <w:t xml:space="preserve">, 9 </w:t>
      </w:r>
      <w:r w:rsidRPr="00812BAA">
        <w:rPr>
          <w:rFonts w:ascii="Kokila" w:hAnsi="Kokila" w:cs="Kokila"/>
          <w:caps/>
          <w:sz w:val="32"/>
          <w:szCs w:val="32"/>
          <w:cs/>
        </w:rPr>
        <w:t>बहादुर</w:t>
      </w:r>
      <w:r w:rsidRPr="00BB213F">
        <w:rPr>
          <w:rFonts w:ascii="Times New Roman" w:hAnsi="Times New Roman" w:cs="Times New Roman"/>
          <w:caps/>
          <w:sz w:val="32"/>
          <w:szCs w:val="32"/>
          <w:cs/>
        </w:rPr>
        <w:t xml:space="preserve"> </w:t>
      </w:r>
      <w:r w:rsidRPr="00812BAA">
        <w:rPr>
          <w:rFonts w:ascii="Kokila" w:hAnsi="Kokila" w:cs="Kokila"/>
          <w:caps/>
          <w:sz w:val="32"/>
          <w:szCs w:val="32"/>
          <w:cs/>
        </w:rPr>
        <w:t>शाह</w:t>
      </w:r>
      <w:r w:rsidRPr="00BB213F">
        <w:rPr>
          <w:rFonts w:ascii="Times New Roman" w:hAnsi="Times New Roman" w:cs="Times New Roman"/>
          <w:caps/>
          <w:sz w:val="32"/>
          <w:szCs w:val="32"/>
          <w:cs/>
        </w:rPr>
        <w:t xml:space="preserve"> </w:t>
      </w:r>
      <w:r w:rsidRPr="00812BAA">
        <w:rPr>
          <w:rFonts w:ascii="Kokila" w:hAnsi="Kokila" w:cs="Kokila"/>
          <w:caps/>
          <w:sz w:val="32"/>
          <w:szCs w:val="32"/>
          <w:cs/>
        </w:rPr>
        <w:t>ज़फर</w:t>
      </w:r>
      <w:r w:rsidRPr="00BB213F">
        <w:rPr>
          <w:rFonts w:ascii="Times New Roman" w:hAnsi="Times New Roman" w:cs="Times New Roman"/>
          <w:caps/>
          <w:sz w:val="32"/>
          <w:szCs w:val="32"/>
          <w:cs/>
        </w:rPr>
        <w:t xml:space="preserve"> </w:t>
      </w:r>
      <w:r w:rsidRPr="00812BAA">
        <w:rPr>
          <w:rFonts w:ascii="Kokila" w:hAnsi="Kokila" w:cs="Kokila"/>
          <w:caps/>
          <w:sz w:val="32"/>
          <w:szCs w:val="32"/>
          <w:cs/>
        </w:rPr>
        <w:t>मार्ग</w:t>
      </w:r>
      <w:r w:rsidRPr="00BB213F">
        <w:rPr>
          <w:rFonts w:ascii="Times New Roman" w:hAnsi="Times New Roman" w:cs="Times New Roman"/>
          <w:caps/>
          <w:sz w:val="32"/>
          <w:szCs w:val="32"/>
        </w:rPr>
        <w:t xml:space="preserve">, </w:t>
      </w:r>
      <w:r w:rsidRPr="00812BAA">
        <w:rPr>
          <w:rFonts w:ascii="Kokila" w:hAnsi="Kokila" w:cs="Kokila"/>
          <w:caps/>
          <w:sz w:val="32"/>
          <w:szCs w:val="32"/>
          <w:cs/>
        </w:rPr>
        <w:t>नई</w:t>
      </w:r>
      <w:r w:rsidRPr="00BB213F">
        <w:rPr>
          <w:rFonts w:ascii="Times New Roman" w:hAnsi="Times New Roman" w:cs="Times New Roman"/>
          <w:caps/>
          <w:sz w:val="32"/>
          <w:szCs w:val="32"/>
          <w:cs/>
        </w:rPr>
        <w:t xml:space="preserve"> </w:t>
      </w:r>
      <w:r w:rsidRPr="00812BAA">
        <w:rPr>
          <w:rFonts w:ascii="Kokila" w:hAnsi="Kokila" w:cs="Kokila"/>
          <w:caps/>
          <w:sz w:val="32"/>
          <w:szCs w:val="32"/>
          <w:cs/>
        </w:rPr>
        <w:t>दिल्ली</w:t>
      </w:r>
      <w:r w:rsidRPr="00BB213F">
        <w:rPr>
          <w:rFonts w:ascii="Times New Roman" w:hAnsi="Times New Roman" w:cs="Times New Roman"/>
          <w:caps/>
          <w:sz w:val="44"/>
          <w:szCs w:val="44"/>
          <w:cs/>
        </w:rPr>
        <w:t xml:space="preserve"> </w:t>
      </w:r>
      <w:r w:rsidRPr="00BB213F">
        <w:rPr>
          <w:rFonts w:ascii="Times New Roman" w:hAnsi="Times New Roman" w:cs="Times New Roman"/>
          <w:caps/>
          <w:sz w:val="32"/>
          <w:szCs w:val="32"/>
          <w:cs/>
        </w:rPr>
        <w:t>-</w:t>
      </w:r>
      <w:r w:rsidRPr="00BB213F">
        <w:rPr>
          <w:rFonts w:ascii="Times New Roman" w:hAnsi="Times New Roman" w:cs="Times New Roman"/>
          <w:caps/>
          <w:sz w:val="32"/>
          <w:szCs w:val="32"/>
          <w:rtl/>
          <w:lang w:bidi="ar-SA"/>
        </w:rPr>
        <w:t xml:space="preserve"> </w:t>
      </w:r>
      <w:r w:rsidRPr="00BB213F">
        <w:rPr>
          <w:rFonts w:ascii="Times New Roman" w:hAnsi="Times New Roman" w:cs="Times New Roman"/>
          <w:bCs/>
          <w:caps/>
          <w:sz w:val="32"/>
          <w:szCs w:val="32"/>
        </w:rPr>
        <w:t>110002</w:t>
      </w:r>
    </w:p>
    <w:p w14:paraId="00BB2101" w14:textId="77777777" w:rsidR="00136635" w:rsidRPr="00BB213F" w:rsidRDefault="00136635" w:rsidP="00BB213F">
      <w:pPr>
        <w:tabs>
          <w:tab w:val="left" w:pos="3119"/>
          <w:tab w:val="left" w:pos="3828"/>
          <w:tab w:val="left" w:pos="4253"/>
        </w:tabs>
        <w:autoSpaceDE w:val="0"/>
        <w:autoSpaceDN w:val="0"/>
        <w:adjustRightInd w:val="0"/>
        <w:spacing w:after="0" w:line="240" w:lineRule="auto"/>
        <w:ind w:left="4860" w:right="-540"/>
        <w:jc w:val="center"/>
        <w:rPr>
          <w:rFonts w:ascii="Times New Roman" w:hAnsi="Times New Roman" w:cs="Times New Roman"/>
          <w:color w:val="231F20"/>
          <w:sz w:val="20"/>
        </w:rPr>
      </w:pPr>
      <w:r w:rsidRPr="00BB213F">
        <w:rPr>
          <w:rFonts w:ascii="Times New Roman" w:hAnsi="Times New Roman" w:cs="Times New Roman"/>
          <w:color w:val="231F20"/>
          <w:sz w:val="20"/>
        </w:rPr>
        <w:t>MANAK BHAVAN, 9 BAHADUR SHAH ZAFAR MARG</w:t>
      </w:r>
    </w:p>
    <w:p w14:paraId="25EDD9D7" w14:textId="77777777" w:rsidR="00136635" w:rsidRPr="00BB213F" w:rsidRDefault="00136635" w:rsidP="00BB213F">
      <w:pPr>
        <w:tabs>
          <w:tab w:val="left" w:pos="3119"/>
          <w:tab w:val="left" w:pos="3828"/>
          <w:tab w:val="left" w:pos="4253"/>
        </w:tabs>
        <w:autoSpaceDE w:val="0"/>
        <w:autoSpaceDN w:val="0"/>
        <w:adjustRightInd w:val="0"/>
        <w:spacing w:after="0" w:line="240" w:lineRule="auto"/>
        <w:ind w:left="4860" w:right="-540"/>
        <w:jc w:val="center"/>
        <w:rPr>
          <w:rFonts w:ascii="Times New Roman" w:hAnsi="Times New Roman" w:cs="Times New Roman"/>
          <w:color w:val="231F20"/>
          <w:sz w:val="20"/>
        </w:rPr>
      </w:pPr>
      <w:r w:rsidRPr="00BB213F">
        <w:rPr>
          <w:rFonts w:ascii="Times New Roman" w:hAnsi="Times New Roman" w:cs="Times New Roman"/>
          <w:color w:val="231F20"/>
          <w:sz w:val="20"/>
        </w:rPr>
        <w:t>NEW DELHI - 110002</w:t>
      </w:r>
    </w:p>
    <w:p w14:paraId="30CAC29B" w14:textId="77777777" w:rsidR="00136635" w:rsidRPr="00BB213F" w:rsidRDefault="00136635" w:rsidP="00BB213F">
      <w:pPr>
        <w:spacing w:after="0" w:line="240" w:lineRule="auto"/>
        <w:ind w:left="4860" w:right="-540"/>
        <w:jc w:val="center"/>
        <w:rPr>
          <w:rFonts w:ascii="Times New Roman" w:hAnsi="Times New Roman" w:cs="Times New Roman"/>
          <w:sz w:val="20"/>
          <w:szCs w:val="24"/>
        </w:rPr>
      </w:pPr>
      <w:hyperlink r:id="rId8" w:history="1">
        <w:r w:rsidRPr="00BB213F">
          <w:rPr>
            <w:rStyle w:val="Hyperlink"/>
            <w:rFonts w:ascii="Times New Roman" w:hAnsi="Times New Roman" w:cs="Times New Roman"/>
            <w:szCs w:val="24"/>
          </w:rPr>
          <w:t>www.bis.gov.in</w:t>
        </w:r>
      </w:hyperlink>
      <w:r w:rsidRPr="00BB213F">
        <w:rPr>
          <w:rFonts w:ascii="Times New Roman" w:hAnsi="Times New Roman" w:cs="Times New Roman"/>
          <w:sz w:val="20"/>
          <w:szCs w:val="24"/>
        </w:rPr>
        <w:t xml:space="preserve">     </w:t>
      </w:r>
      <w:hyperlink r:id="rId9" w:history="1">
        <w:r w:rsidRPr="00BB213F">
          <w:rPr>
            <w:rStyle w:val="Hyperlink"/>
            <w:rFonts w:ascii="Times New Roman" w:hAnsi="Times New Roman" w:cs="Times New Roman"/>
            <w:szCs w:val="24"/>
          </w:rPr>
          <w:t>www.standardsbis.in</w:t>
        </w:r>
      </w:hyperlink>
    </w:p>
    <w:p w14:paraId="6D988DCF" w14:textId="77777777" w:rsidR="00136635" w:rsidRPr="00BB213F" w:rsidRDefault="00136635" w:rsidP="00BB213F">
      <w:pPr>
        <w:spacing w:after="0" w:line="240" w:lineRule="auto"/>
        <w:ind w:left="3510" w:right="-540" w:firstLine="720"/>
        <w:jc w:val="center"/>
        <w:rPr>
          <w:rFonts w:ascii="Times New Roman" w:hAnsi="Times New Roman" w:cs="Times New Roman"/>
          <w:sz w:val="24"/>
          <w:szCs w:val="24"/>
        </w:rPr>
      </w:pPr>
    </w:p>
    <w:p w14:paraId="10852A10" w14:textId="75000AF2" w:rsidR="00136635" w:rsidRPr="00BB213F" w:rsidRDefault="002F3DCD" w:rsidP="00BB213F">
      <w:pPr>
        <w:spacing w:after="0" w:line="240" w:lineRule="auto"/>
        <w:ind w:left="3510" w:right="-540"/>
        <w:rPr>
          <w:rFonts w:ascii="Times New Roman" w:hAnsi="Times New Roman" w:cs="Times New Roman"/>
        </w:rPr>
      </w:pPr>
      <w:r>
        <w:rPr>
          <w:rFonts w:ascii="Times New Roman" w:hAnsi="Times New Roman" w:cs="Times New Roman"/>
          <w:b/>
          <w:bCs/>
          <w:iCs/>
          <w:sz w:val="24"/>
          <w:szCs w:val="24"/>
        </w:rPr>
        <w:t>December</w:t>
      </w:r>
      <w:r w:rsidR="00136635" w:rsidRPr="00BB213F">
        <w:rPr>
          <w:rFonts w:ascii="Times New Roman" w:hAnsi="Times New Roman" w:cs="Times New Roman"/>
          <w:b/>
          <w:bCs/>
          <w:iCs/>
          <w:sz w:val="24"/>
          <w:szCs w:val="24"/>
        </w:rPr>
        <w:t xml:space="preserve"> </w:t>
      </w:r>
      <w:r w:rsidR="00136635" w:rsidRPr="00BB213F">
        <w:rPr>
          <w:rFonts w:ascii="Times New Roman" w:hAnsi="Times New Roman" w:cs="Times New Roman"/>
          <w:b/>
          <w:bCs/>
          <w:sz w:val="24"/>
          <w:szCs w:val="24"/>
        </w:rPr>
        <w:t>2024                                             Price Group X</w:t>
      </w:r>
    </w:p>
    <w:p w14:paraId="4CCBE61B" w14:textId="77777777" w:rsidR="007863BA" w:rsidRPr="00812BAA" w:rsidRDefault="007863BA" w:rsidP="00B839D1">
      <w:pPr>
        <w:tabs>
          <w:tab w:val="left" w:pos="1767"/>
        </w:tabs>
        <w:spacing w:after="0" w:line="240" w:lineRule="auto"/>
        <w:jc w:val="center"/>
        <w:rPr>
          <w:rFonts w:ascii="Times New Roman" w:eastAsia="Verdana" w:hAnsi="Times New Roman" w:cs="Times New Roman"/>
          <w:bCs/>
          <w:i/>
          <w:iCs/>
          <w:sz w:val="24"/>
          <w:szCs w:val="24"/>
          <w:lang w:val="en-IN"/>
        </w:rPr>
      </w:pPr>
    </w:p>
    <w:p w14:paraId="72531A73" w14:textId="5C0019A2" w:rsidR="007863BA" w:rsidRPr="00BB213F" w:rsidRDefault="00F46725" w:rsidP="00BB213F">
      <w:pPr>
        <w:tabs>
          <w:tab w:val="left" w:pos="1767"/>
        </w:tabs>
        <w:spacing w:after="0" w:line="240" w:lineRule="auto"/>
        <w:rPr>
          <w:rFonts w:ascii="Arial" w:eastAsia="Verdana" w:hAnsi="Arial" w:cs="Arial"/>
          <w:sz w:val="20"/>
          <w:lang w:val="en-IN"/>
        </w:rPr>
      </w:pPr>
      <w:r w:rsidRPr="00BB213F">
        <w:rPr>
          <w:rFonts w:ascii="Arial" w:eastAsia="Times New Roman" w:hAnsi="Arial" w:cs="Arial"/>
          <w:sz w:val="20"/>
        </w:rPr>
        <w:t>Solid Mineral Fuels and Solid Biofuels Sectional Committee, PCD 07</w:t>
      </w:r>
    </w:p>
    <w:p w14:paraId="792A9866" w14:textId="77777777" w:rsidR="007863BA" w:rsidRPr="00BB213F" w:rsidRDefault="007863BA" w:rsidP="00B839D1">
      <w:pPr>
        <w:tabs>
          <w:tab w:val="left" w:pos="1767"/>
        </w:tabs>
        <w:spacing w:after="0" w:line="240" w:lineRule="auto"/>
        <w:jc w:val="both"/>
        <w:rPr>
          <w:rFonts w:ascii="Arial" w:eastAsia="Verdana" w:hAnsi="Arial" w:cs="Arial"/>
          <w:bCs/>
          <w:sz w:val="20"/>
          <w:lang w:val="en-IN"/>
        </w:rPr>
      </w:pPr>
    </w:p>
    <w:p w14:paraId="70C1F391" w14:textId="77777777" w:rsidR="007863BA" w:rsidRPr="00BB213F" w:rsidRDefault="007863BA" w:rsidP="00B839D1">
      <w:pPr>
        <w:tabs>
          <w:tab w:val="left" w:pos="1767"/>
        </w:tabs>
        <w:spacing w:after="0" w:line="240" w:lineRule="auto"/>
        <w:rPr>
          <w:rFonts w:ascii="Arial" w:eastAsia="Verdana" w:hAnsi="Arial" w:cs="Arial"/>
          <w:bCs/>
          <w:sz w:val="20"/>
          <w:lang w:val="en-IN"/>
        </w:rPr>
      </w:pPr>
    </w:p>
    <w:p w14:paraId="5BA9EC39" w14:textId="77777777" w:rsidR="007863BA" w:rsidRPr="00BB213F" w:rsidRDefault="007863BA" w:rsidP="00B839D1">
      <w:pPr>
        <w:tabs>
          <w:tab w:val="left" w:pos="1767"/>
        </w:tabs>
        <w:spacing w:after="0" w:line="240" w:lineRule="auto"/>
        <w:rPr>
          <w:rFonts w:ascii="Arial" w:eastAsia="Verdana" w:hAnsi="Arial" w:cs="Arial"/>
          <w:bCs/>
          <w:sz w:val="20"/>
          <w:lang w:val="en-IN"/>
        </w:rPr>
      </w:pPr>
      <w:r w:rsidRPr="00BB213F">
        <w:rPr>
          <w:rFonts w:ascii="Arial" w:eastAsia="Verdana" w:hAnsi="Arial" w:cs="Arial"/>
          <w:bCs/>
          <w:sz w:val="20"/>
          <w:lang w:val="en-IN"/>
        </w:rPr>
        <w:t>NATIONAL FOREWORD</w:t>
      </w:r>
    </w:p>
    <w:p w14:paraId="20D82BF0" w14:textId="77777777" w:rsidR="007863BA" w:rsidRPr="00BB213F" w:rsidRDefault="007863BA" w:rsidP="00B839D1">
      <w:pPr>
        <w:tabs>
          <w:tab w:val="left" w:pos="1767"/>
        </w:tabs>
        <w:spacing w:after="0" w:line="240" w:lineRule="auto"/>
        <w:rPr>
          <w:rFonts w:ascii="Arial" w:eastAsia="Verdana" w:hAnsi="Arial" w:cs="Arial"/>
          <w:bCs/>
          <w:sz w:val="20"/>
          <w:lang w:val="en-IN"/>
        </w:rPr>
      </w:pPr>
    </w:p>
    <w:p w14:paraId="3A34547E" w14:textId="4013B99C" w:rsidR="00096F33" w:rsidRPr="00BB213F" w:rsidRDefault="00096F33" w:rsidP="00096F33">
      <w:pPr>
        <w:spacing w:after="0" w:line="240" w:lineRule="auto"/>
        <w:jc w:val="both"/>
        <w:rPr>
          <w:rFonts w:ascii="Arial" w:hAnsi="Arial" w:cs="Arial"/>
          <w:snapToGrid w:val="0"/>
          <w:color w:val="000000" w:themeColor="text1"/>
          <w:sz w:val="20"/>
        </w:rPr>
      </w:pPr>
      <w:r w:rsidRPr="00BB213F">
        <w:rPr>
          <w:rFonts w:ascii="Arial" w:hAnsi="Arial" w:cs="Arial"/>
          <w:snapToGrid w:val="0"/>
          <w:color w:val="000000" w:themeColor="text1"/>
          <w:sz w:val="20"/>
        </w:rPr>
        <w:t>This Indian Standard which is identical with ISO 16967 : 2015 ‘Solid biofuels — Determination of m</w:t>
      </w:r>
      <w:r w:rsidR="00DC5C45" w:rsidRPr="00BB213F">
        <w:rPr>
          <w:rFonts w:ascii="Arial" w:hAnsi="Arial" w:cs="Arial"/>
          <w:snapToGrid w:val="0"/>
          <w:color w:val="000000" w:themeColor="text1"/>
          <w:sz w:val="20"/>
        </w:rPr>
        <w:t>ajor elements –– Al, Ca, Fe, Mg, P, K, Si, Na and Ti</w:t>
      </w:r>
      <w:r w:rsidRPr="00BB213F">
        <w:rPr>
          <w:rFonts w:ascii="Arial" w:hAnsi="Arial" w:cs="Arial"/>
          <w:snapToGrid w:val="0"/>
          <w:color w:val="000000" w:themeColor="text1"/>
          <w:sz w:val="20"/>
        </w:rPr>
        <w:t>’ issued by the International Organization for Standardization (ISO) was adopted by the Bureau of Indian Standards on recommendation of the Solid Mineral Fuels and Solid Biofuels Sectional Committee and approval of the Petroleum, Coal and Related Products Division Council.</w:t>
      </w:r>
      <w:r w:rsidRPr="00BB213F" w:rsidDel="0083402C">
        <w:rPr>
          <w:rFonts w:ascii="Arial" w:hAnsi="Arial" w:cs="Arial"/>
          <w:snapToGrid w:val="0"/>
          <w:color w:val="000000" w:themeColor="text1"/>
          <w:sz w:val="20"/>
        </w:rPr>
        <w:t xml:space="preserve"> </w:t>
      </w:r>
      <w:r w:rsidRPr="00BB213F">
        <w:rPr>
          <w:rFonts w:ascii="Arial" w:eastAsia="Verdana" w:hAnsi="Arial" w:cs="Arial"/>
          <w:b/>
          <w:bCs/>
          <w:sz w:val="20"/>
          <w:lang w:val="en-IN"/>
        </w:rPr>
        <w:t xml:space="preserve">    </w:t>
      </w:r>
    </w:p>
    <w:p w14:paraId="201A58E0" w14:textId="071ECA75" w:rsidR="007863BA" w:rsidRPr="00BB213F" w:rsidRDefault="00096F33" w:rsidP="00096F33">
      <w:pPr>
        <w:widowControl w:val="0"/>
        <w:spacing w:after="0" w:line="240" w:lineRule="auto"/>
        <w:rPr>
          <w:rFonts w:ascii="Arial" w:hAnsi="Arial" w:cs="Arial"/>
          <w:snapToGrid w:val="0"/>
          <w:sz w:val="20"/>
        </w:rPr>
      </w:pPr>
      <w:r w:rsidRPr="00BB213F" w:rsidDel="00096F33">
        <w:rPr>
          <w:rFonts w:ascii="Arial" w:hAnsi="Arial" w:cs="Arial"/>
          <w:snapToGrid w:val="0"/>
          <w:sz w:val="20"/>
        </w:rPr>
        <w:t xml:space="preserve"> </w:t>
      </w:r>
    </w:p>
    <w:p w14:paraId="2DD0562E" w14:textId="77777777" w:rsidR="007863BA" w:rsidRPr="00BB213F" w:rsidRDefault="007863BA" w:rsidP="00B839D1">
      <w:pPr>
        <w:tabs>
          <w:tab w:val="left" w:pos="1767"/>
        </w:tabs>
        <w:spacing w:after="0" w:line="240" w:lineRule="auto"/>
        <w:jc w:val="both"/>
        <w:rPr>
          <w:rFonts w:ascii="Arial" w:eastAsia="Times New Roman" w:hAnsi="Arial" w:cs="Arial"/>
          <w:sz w:val="20"/>
          <w:lang w:bidi="ar-SA"/>
        </w:rPr>
      </w:pPr>
      <w:r w:rsidRPr="00BB213F">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14:paraId="2C86DD28" w14:textId="77777777" w:rsidR="007863BA" w:rsidRPr="00BB213F" w:rsidRDefault="007863BA" w:rsidP="00B839D1">
      <w:pPr>
        <w:tabs>
          <w:tab w:val="left" w:pos="1767"/>
        </w:tabs>
        <w:spacing w:after="0" w:line="240" w:lineRule="auto"/>
        <w:jc w:val="both"/>
        <w:rPr>
          <w:rFonts w:ascii="Arial" w:eastAsia="Times New Roman" w:hAnsi="Arial" w:cs="Arial"/>
          <w:sz w:val="20"/>
          <w:lang w:bidi="ar-SA"/>
        </w:rPr>
      </w:pPr>
    </w:p>
    <w:p w14:paraId="4CDF1515" w14:textId="77777777" w:rsidR="007863BA" w:rsidRPr="00BB213F" w:rsidRDefault="007863BA" w:rsidP="00B839D1">
      <w:pPr>
        <w:spacing w:after="0" w:line="240" w:lineRule="auto"/>
        <w:ind w:left="567" w:hanging="283"/>
        <w:jc w:val="both"/>
        <w:rPr>
          <w:rFonts w:ascii="Arial" w:eastAsia="Times New Roman" w:hAnsi="Arial" w:cs="Arial"/>
          <w:sz w:val="20"/>
          <w:lang w:bidi="ar-SA"/>
        </w:rPr>
      </w:pPr>
      <w:r w:rsidRPr="00BB213F">
        <w:rPr>
          <w:rFonts w:ascii="Arial" w:eastAsia="Times New Roman" w:hAnsi="Arial" w:cs="Arial"/>
          <w:sz w:val="20"/>
          <w:lang w:bidi="ar-SA"/>
        </w:rPr>
        <w:t>a) Wherever the words ‘International Standard’ appear referring to this standard, they should be read as ‘Indian Standard’.</w:t>
      </w:r>
    </w:p>
    <w:p w14:paraId="2538A065" w14:textId="77777777" w:rsidR="007863BA" w:rsidRPr="00BB213F" w:rsidRDefault="007863BA" w:rsidP="00B839D1">
      <w:pPr>
        <w:spacing w:after="0" w:line="240" w:lineRule="auto"/>
        <w:ind w:left="567" w:hanging="283"/>
        <w:jc w:val="both"/>
        <w:rPr>
          <w:rFonts w:ascii="Arial" w:eastAsia="Times New Roman" w:hAnsi="Arial" w:cs="Arial"/>
          <w:sz w:val="20"/>
          <w:lang w:bidi="ar-SA"/>
        </w:rPr>
      </w:pPr>
      <w:r w:rsidRPr="00BB213F">
        <w:rPr>
          <w:rFonts w:ascii="Arial" w:eastAsia="Times New Roman" w:hAnsi="Arial" w:cs="Arial"/>
          <w:sz w:val="20"/>
          <w:lang w:bidi="ar-SA"/>
        </w:rPr>
        <w:t>b) Comma (,) has been used as a decimal marker while in Indian Standards, the current practice is to use a point (.) as the decimal marker.</w:t>
      </w:r>
    </w:p>
    <w:p w14:paraId="086E0D66" w14:textId="77777777" w:rsidR="007863BA" w:rsidRPr="00BB213F" w:rsidRDefault="007863BA" w:rsidP="00B839D1">
      <w:pPr>
        <w:spacing w:after="0" w:line="240" w:lineRule="auto"/>
        <w:ind w:left="720"/>
        <w:jc w:val="both"/>
        <w:rPr>
          <w:rFonts w:ascii="Arial" w:eastAsia="Times New Roman" w:hAnsi="Arial" w:cs="Arial"/>
          <w:sz w:val="20"/>
          <w:lang w:bidi="ar-SA"/>
        </w:rPr>
      </w:pPr>
    </w:p>
    <w:p w14:paraId="29CA6CB2" w14:textId="6F3B41DD" w:rsidR="00824A2D" w:rsidRPr="00BB213F" w:rsidRDefault="006F5C2B" w:rsidP="00B839D1">
      <w:pPr>
        <w:widowControl w:val="0"/>
        <w:spacing w:after="0" w:line="240" w:lineRule="auto"/>
        <w:jc w:val="both"/>
        <w:rPr>
          <w:rFonts w:ascii="Arial" w:eastAsia="Times New Roman" w:hAnsi="Arial" w:cs="Arial"/>
          <w:snapToGrid w:val="0"/>
          <w:sz w:val="20"/>
          <w:lang w:bidi="ar-SA"/>
        </w:rPr>
      </w:pPr>
      <w:bookmarkStart w:id="0" w:name="_Hlk162434050"/>
      <w:r w:rsidRPr="00BB213F">
        <w:rPr>
          <w:rFonts w:ascii="Arial" w:eastAsia="Times New Roman" w:hAnsi="Arial" w:cs="Arial"/>
          <w:snapToGrid w:val="0"/>
          <w:sz w:val="20"/>
          <w:lang w:bidi="ar-SA"/>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bookmarkEnd w:id="0"/>
    <w:p w14:paraId="644DD962" w14:textId="77777777" w:rsidR="006F5C2B" w:rsidRPr="00BB213F" w:rsidRDefault="006F5C2B" w:rsidP="00B839D1">
      <w:pPr>
        <w:widowControl w:val="0"/>
        <w:spacing w:after="0" w:line="240" w:lineRule="auto"/>
        <w:jc w:val="both"/>
        <w:rPr>
          <w:rFonts w:ascii="Arial" w:eastAsia="Times New Roman" w:hAnsi="Arial" w:cs="Arial"/>
          <w:snapToGrid w:val="0"/>
          <w:sz w:val="20"/>
          <w:lang w:bidi="ar-SA"/>
        </w:rPr>
      </w:pPr>
    </w:p>
    <w:tbl>
      <w:tblPr>
        <w:tblpPr w:leftFromText="180" w:rightFromText="180" w:vertAnchor="text" w:tblpXSpec="center" w:tblpY="1"/>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3631"/>
        <w:gridCol w:w="2519"/>
      </w:tblGrid>
      <w:tr w:rsidR="00B839D1" w:rsidRPr="00BB213F" w14:paraId="086F6E0A" w14:textId="77777777" w:rsidTr="00BB213F">
        <w:trPr>
          <w:trHeight w:val="260"/>
        </w:trPr>
        <w:tc>
          <w:tcPr>
            <w:tcW w:w="3150" w:type="dxa"/>
            <w:tcBorders>
              <w:top w:val="single" w:sz="4" w:space="0" w:color="auto"/>
              <w:left w:val="single" w:sz="4" w:space="0" w:color="auto"/>
              <w:bottom w:val="single" w:sz="4" w:space="0" w:color="auto"/>
              <w:right w:val="single" w:sz="4" w:space="0" w:color="auto"/>
            </w:tcBorders>
            <w:hideMark/>
          </w:tcPr>
          <w:p w14:paraId="55B8AFFF" w14:textId="77777777" w:rsidR="00824A2D" w:rsidRPr="00BB213F" w:rsidRDefault="00824A2D" w:rsidP="00B839D1">
            <w:pPr>
              <w:spacing w:after="0" w:line="240" w:lineRule="auto"/>
              <w:jc w:val="center"/>
              <w:outlineLvl w:val="1"/>
              <w:rPr>
                <w:rFonts w:ascii="Arial" w:eastAsia="Times New Roman" w:hAnsi="Arial" w:cs="Arial"/>
                <w:i/>
                <w:iCs/>
                <w:sz w:val="20"/>
                <w:vertAlign w:val="superscript"/>
                <w:lang w:bidi="ar-SA"/>
              </w:rPr>
            </w:pPr>
            <w:bookmarkStart w:id="1" w:name="_Hlk181875105"/>
            <w:r w:rsidRPr="00BB213F">
              <w:rPr>
                <w:rFonts w:ascii="Arial" w:eastAsia="Times New Roman" w:hAnsi="Arial" w:cs="Arial"/>
                <w:i/>
                <w:iCs/>
                <w:sz w:val="20"/>
                <w:lang w:bidi="ar-SA"/>
              </w:rPr>
              <w:t>International Standard</w:t>
            </w:r>
          </w:p>
        </w:tc>
        <w:tc>
          <w:tcPr>
            <w:tcW w:w="3631" w:type="dxa"/>
            <w:tcBorders>
              <w:top w:val="single" w:sz="4" w:space="0" w:color="auto"/>
              <w:left w:val="single" w:sz="4" w:space="0" w:color="auto"/>
              <w:bottom w:val="single" w:sz="4" w:space="0" w:color="auto"/>
              <w:right w:val="single" w:sz="4" w:space="0" w:color="auto"/>
            </w:tcBorders>
            <w:hideMark/>
          </w:tcPr>
          <w:p w14:paraId="2944A07B" w14:textId="77777777" w:rsidR="00824A2D" w:rsidRPr="00BB213F" w:rsidRDefault="00824A2D" w:rsidP="00B839D1">
            <w:pPr>
              <w:spacing w:after="0" w:line="240" w:lineRule="auto"/>
              <w:jc w:val="center"/>
              <w:rPr>
                <w:rFonts w:ascii="Arial" w:eastAsia="Times New Roman" w:hAnsi="Arial" w:cs="Arial"/>
                <w:i/>
                <w:iCs/>
                <w:sz w:val="20"/>
                <w:lang w:bidi="ar-SA"/>
              </w:rPr>
            </w:pPr>
            <w:r w:rsidRPr="00BB213F">
              <w:rPr>
                <w:rFonts w:ascii="Arial" w:eastAsia="Times New Roman" w:hAnsi="Arial" w:cs="Arial"/>
                <w:i/>
                <w:iCs/>
                <w:sz w:val="20"/>
                <w:lang w:bidi="ar-SA"/>
              </w:rPr>
              <w:t>Corresponding Indian Standard</w:t>
            </w:r>
          </w:p>
        </w:tc>
        <w:tc>
          <w:tcPr>
            <w:tcW w:w="2519" w:type="dxa"/>
            <w:tcBorders>
              <w:top w:val="single" w:sz="4" w:space="0" w:color="auto"/>
              <w:left w:val="single" w:sz="4" w:space="0" w:color="auto"/>
              <w:bottom w:val="single" w:sz="4" w:space="0" w:color="auto"/>
              <w:right w:val="single" w:sz="4" w:space="0" w:color="auto"/>
            </w:tcBorders>
            <w:hideMark/>
          </w:tcPr>
          <w:p w14:paraId="48CD562A" w14:textId="77777777" w:rsidR="00824A2D" w:rsidRPr="00BB213F" w:rsidRDefault="00824A2D" w:rsidP="00B839D1">
            <w:pPr>
              <w:widowControl w:val="0"/>
              <w:spacing w:after="0" w:line="240" w:lineRule="auto"/>
              <w:jc w:val="center"/>
              <w:rPr>
                <w:rFonts w:ascii="Arial" w:eastAsia="MS Mincho" w:hAnsi="Arial" w:cs="Arial"/>
                <w:i/>
                <w:iCs/>
                <w:sz w:val="20"/>
                <w:lang w:bidi="ar-SA"/>
              </w:rPr>
            </w:pPr>
            <w:r w:rsidRPr="00BB213F">
              <w:rPr>
                <w:rFonts w:ascii="Arial" w:eastAsia="MS Mincho" w:hAnsi="Arial" w:cs="Arial"/>
                <w:i/>
                <w:iCs/>
                <w:sz w:val="20"/>
                <w:lang w:bidi="ar-SA"/>
              </w:rPr>
              <w:t>Degree of Equivalence</w:t>
            </w:r>
          </w:p>
        </w:tc>
      </w:tr>
      <w:tr w:rsidR="00B839D1" w:rsidRPr="00BB213F" w14:paraId="77DA741B" w14:textId="77777777" w:rsidTr="00A4180F">
        <w:trPr>
          <w:trHeight w:val="437"/>
        </w:trPr>
        <w:tc>
          <w:tcPr>
            <w:tcW w:w="3150" w:type="dxa"/>
            <w:tcBorders>
              <w:top w:val="single" w:sz="4" w:space="0" w:color="auto"/>
              <w:left w:val="single" w:sz="4" w:space="0" w:color="auto"/>
              <w:bottom w:val="single" w:sz="4" w:space="0" w:color="auto"/>
              <w:right w:val="single" w:sz="4" w:space="0" w:color="auto"/>
            </w:tcBorders>
          </w:tcPr>
          <w:p w14:paraId="4707DAD6" w14:textId="0CA9C10E" w:rsidR="00841FC2" w:rsidRPr="00BB213F" w:rsidRDefault="00841FC2" w:rsidP="00B839D1">
            <w:pPr>
              <w:spacing w:after="0" w:line="240" w:lineRule="auto"/>
              <w:jc w:val="both"/>
              <w:outlineLvl w:val="1"/>
              <w:rPr>
                <w:rFonts w:ascii="Arial" w:hAnsi="Arial" w:cs="Arial"/>
                <w:sz w:val="20"/>
              </w:rPr>
            </w:pPr>
            <w:hyperlink r:id="rId10" w:anchor="iso:std:iso:11885:en" w:history="1">
              <w:r w:rsidRPr="00BB213F">
                <w:rPr>
                  <w:rFonts w:ascii="Arial" w:eastAsia="Times New Roman" w:hAnsi="Arial" w:cs="Arial"/>
                  <w:sz w:val="20"/>
                </w:rPr>
                <w:t>ISO 11885</w:t>
              </w:r>
            </w:hyperlink>
            <w:r w:rsidRPr="00BB213F">
              <w:rPr>
                <w:rFonts w:ascii="Arial" w:eastAsia="Times New Roman" w:hAnsi="Arial" w:cs="Arial"/>
                <w:sz w:val="20"/>
              </w:rPr>
              <w:t xml:space="preserve"> Water quality — Determination of selected elements by inductively coupled plasma optical emission spectrometry (ICP-OES)</w:t>
            </w:r>
          </w:p>
        </w:tc>
        <w:tc>
          <w:tcPr>
            <w:tcW w:w="3631" w:type="dxa"/>
            <w:tcBorders>
              <w:top w:val="single" w:sz="4" w:space="0" w:color="auto"/>
              <w:left w:val="single" w:sz="4" w:space="0" w:color="auto"/>
              <w:bottom w:val="single" w:sz="4" w:space="0" w:color="auto"/>
              <w:right w:val="single" w:sz="4" w:space="0" w:color="auto"/>
            </w:tcBorders>
          </w:tcPr>
          <w:p w14:paraId="13631531" w14:textId="6356E497" w:rsidR="00841FC2" w:rsidRPr="00BB213F" w:rsidRDefault="00841FC2" w:rsidP="00B839D1">
            <w:pPr>
              <w:spacing w:after="0" w:line="240" w:lineRule="auto"/>
              <w:jc w:val="both"/>
              <w:rPr>
                <w:rFonts w:ascii="Arial" w:eastAsia="Times New Roman" w:hAnsi="Arial" w:cs="Arial"/>
                <w:sz w:val="20"/>
                <w:lang w:bidi="ar-SA"/>
              </w:rPr>
            </w:pPr>
            <w:r w:rsidRPr="00BB213F">
              <w:rPr>
                <w:rFonts w:ascii="Arial" w:eastAsia="Times New Roman" w:hAnsi="Arial" w:cs="Arial"/>
                <w:sz w:val="20"/>
                <w:lang w:bidi="ar-SA"/>
              </w:rPr>
              <w:t>IS 3025 (Part 2</w:t>
            </w:r>
            <w:proofErr w:type="gramStart"/>
            <w:r w:rsidRPr="00BB213F">
              <w:rPr>
                <w:rFonts w:ascii="Arial" w:eastAsia="Times New Roman" w:hAnsi="Arial" w:cs="Arial"/>
                <w:sz w:val="20"/>
                <w:lang w:bidi="ar-SA"/>
              </w:rPr>
              <w:t>) :</w:t>
            </w:r>
            <w:proofErr w:type="gramEnd"/>
            <w:r w:rsidRPr="00BB213F">
              <w:rPr>
                <w:rFonts w:ascii="Arial" w:eastAsia="Times New Roman" w:hAnsi="Arial" w:cs="Arial"/>
                <w:sz w:val="20"/>
                <w:lang w:bidi="ar-SA"/>
              </w:rPr>
              <w:t xml:space="preserve"> 2019 / ISO 11885 : 2007 </w:t>
            </w:r>
            <w:r w:rsidRPr="00BB213F">
              <w:rPr>
                <w:rFonts w:ascii="Arial" w:hAnsi="Arial" w:cs="Arial"/>
                <w:sz w:val="20"/>
              </w:rPr>
              <w:t xml:space="preserve"> </w:t>
            </w:r>
            <w:r w:rsidRPr="00BB213F">
              <w:rPr>
                <w:rFonts w:ascii="Arial" w:eastAsia="Times New Roman" w:hAnsi="Arial" w:cs="Arial"/>
                <w:sz w:val="20"/>
                <w:lang w:bidi="ar-SA"/>
              </w:rPr>
              <w:t xml:space="preserve">Methods of </w:t>
            </w:r>
            <w:r w:rsidR="001E56FB" w:rsidRPr="00BB213F">
              <w:rPr>
                <w:rFonts w:ascii="Arial" w:eastAsia="Times New Roman" w:hAnsi="Arial" w:cs="Arial"/>
                <w:sz w:val="20"/>
                <w:lang w:bidi="ar-SA"/>
              </w:rPr>
              <w:t>sampling and test (physical and chemical) for water and wastewater</w:t>
            </w:r>
            <w:r w:rsidR="00915797" w:rsidRPr="00BB213F">
              <w:rPr>
                <w:rFonts w:ascii="Arial" w:eastAsia="Times New Roman" w:hAnsi="Arial" w:cs="Arial"/>
                <w:sz w:val="20"/>
                <w:lang w:bidi="ar-SA"/>
              </w:rPr>
              <w:t xml:space="preserve"> </w:t>
            </w:r>
            <w:r w:rsidRPr="00BB213F">
              <w:rPr>
                <w:rFonts w:ascii="Arial" w:eastAsia="Times New Roman" w:hAnsi="Arial" w:cs="Arial"/>
                <w:sz w:val="20"/>
                <w:lang w:bidi="ar-SA"/>
              </w:rPr>
              <w:t xml:space="preserve">Part 2 Determination of </w:t>
            </w:r>
            <w:r w:rsidR="001E56FB" w:rsidRPr="00BB213F">
              <w:rPr>
                <w:rFonts w:ascii="Arial" w:eastAsia="Times New Roman" w:hAnsi="Arial" w:cs="Arial"/>
                <w:sz w:val="20"/>
                <w:lang w:bidi="ar-SA"/>
              </w:rPr>
              <w:t xml:space="preserve">selected elements by inductively coupled plasma optical emission spectrometry </w:t>
            </w:r>
            <w:r w:rsidRPr="00BB213F">
              <w:rPr>
                <w:rFonts w:ascii="Arial" w:eastAsia="Times New Roman" w:hAnsi="Arial" w:cs="Arial"/>
                <w:sz w:val="20"/>
                <w:lang w:bidi="ar-SA"/>
              </w:rPr>
              <w:t>(ICP-OES)</w:t>
            </w:r>
            <w:r w:rsidR="00915797" w:rsidRPr="00BB213F">
              <w:rPr>
                <w:rFonts w:ascii="Arial" w:eastAsia="Times New Roman" w:hAnsi="Arial" w:cs="Arial"/>
                <w:sz w:val="20"/>
                <w:lang w:bidi="ar-SA"/>
              </w:rPr>
              <w:t xml:space="preserve"> (</w:t>
            </w:r>
            <w:r w:rsidR="001E56FB" w:rsidRPr="00BB213F">
              <w:rPr>
                <w:rFonts w:ascii="Arial" w:eastAsia="Times New Roman" w:hAnsi="Arial" w:cs="Arial"/>
                <w:i/>
                <w:iCs/>
                <w:sz w:val="20"/>
                <w:lang w:bidi="ar-SA"/>
              </w:rPr>
              <w:t>first revision</w:t>
            </w:r>
            <w:r w:rsidRPr="00BB213F">
              <w:rPr>
                <w:rFonts w:ascii="Arial" w:eastAsia="Times New Roman" w:hAnsi="Arial" w:cs="Arial"/>
                <w:sz w:val="20"/>
                <w:lang w:bidi="ar-SA"/>
              </w:rPr>
              <w:t>)</w:t>
            </w:r>
          </w:p>
        </w:tc>
        <w:tc>
          <w:tcPr>
            <w:tcW w:w="2519" w:type="dxa"/>
            <w:tcBorders>
              <w:top w:val="single" w:sz="4" w:space="0" w:color="auto"/>
              <w:left w:val="single" w:sz="4" w:space="0" w:color="auto"/>
              <w:bottom w:val="single" w:sz="4" w:space="0" w:color="auto"/>
              <w:right w:val="single" w:sz="4" w:space="0" w:color="auto"/>
            </w:tcBorders>
          </w:tcPr>
          <w:p w14:paraId="5B30BD49" w14:textId="6E6B46DA" w:rsidR="00841FC2" w:rsidRPr="00BB213F" w:rsidRDefault="00841FC2" w:rsidP="00B839D1">
            <w:pPr>
              <w:widowControl w:val="0"/>
              <w:spacing w:after="0" w:line="240" w:lineRule="auto"/>
              <w:jc w:val="center"/>
              <w:rPr>
                <w:rFonts w:ascii="Arial" w:eastAsia="MS Mincho" w:hAnsi="Arial" w:cs="Arial"/>
                <w:sz w:val="20"/>
                <w:lang w:bidi="ar-SA"/>
              </w:rPr>
            </w:pPr>
            <w:r w:rsidRPr="00BB213F">
              <w:rPr>
                <w:rFonts w:ascii="Arial" w:eastAsia="MS Mincho" w:hAnsi="Arial" w:cs="Arial"/>
                <w:sz w:val="20"/>
                <w:lang w:bidi="ar-SA"/>
              </w:rPr>
              <w:t>Identical</w:t>
            </w:r>
          </w:p>
        </w:tc>
      </w:tr>
      <w:tr w:rsidR="009F58B4" w:rsidRPr="00BB213F" w14:paraId="77B9D206" w14:textId="77777777" w:rsidTr="00A4180F">
        <w:trPr>
          <w:trHeight w:val="623"/>
        </w:trPr>
        <w:tc>
          <w:tcPr>
            <w:tcW w:w="3150" w:type="dxa"/>
            <w:tcBorders>
              <w:top w:val="single" w:sz="4" w:space="0" w:color="auto"/>
              <w:left w:val="single" w:sz="4" w:space="0" w:color="auto"/>
              <w:bottom w:val="single" w:sz="4" w:space="0" w:color="auto"/>
              <w:right w:val="single" w:sz="4" w:space="0" w:color="auto"/>
            </w:tcBorders>
          </w:tcPr>
          <w:p w14:paraId="7EEE88DC" w14:textId="2AA0220D" w:rsidR="009F58B4" w:rsidRPr="00BB213F" w:rsidRDefault="009F58B4" w:rsidP="009F58B4">
            <w:pPr>
              <w:spacing w:after="0" w:line="240" w:lineRule="auto"/>
              <w:jc w:val="both"/>
              <w:rPr>
                <w:rFonts w:ascii="Arial" w:hAnsi="Arial" w:cs="Arial"/>
                <w:sz w:val="20"/>
              </w:rPr>
            </w:pPr>
            <w:r w:rsidRPr="00BB213F">
              <w:rPr>
                <w:rFonts w:ascii="Arial" w:eastAsia="Times New Roman" w:hAnsi="Arial" w:cs="Arial"/>
                <w:sz w:val="20"/>
              </w:rPr>
              <w:t>ISO 17294-2</w:t>
            </w:r>
            <w:r w:rsidR="001A1ECC" w:rsidRPr="00BB213F">
              <w:rPr>
                <w:rFonts w:ascii="Arial" w:eastAsia="Times New Roman" w:hAnsi="Arial" w:cs="Arial"/>
                <w:sz w:val="20"/>
              </w:rPr>
              <w:t>,</w:t>
            </w:r>
            <w:r w:rsidRPr="00BB213F">
              <w:rPr>
                <w:rFonts w:ascii="Arial" w:eastAsia="Times New Roman" w:hAnsi="Arial" w:cs="Arial"/>
                <w:sz w:val="20"/>
              </w:rPr>
              <w:t xml:space="preserve"> Water quality — Application of inductively coupled plasma mass spectrometry (ICP-MS) — Part 2: </w:t>
            </w:r>
            <w:r w:rsidRPr="00BB213F">
              <w:rPr>
                <w:rFonts w:ascii="Arial" w:hAnsi="Arial" w:cs="Arial"/>
                <w:sz w:val="20"/>
              </w:rPr>
              <w:t xml:space="preserve"> </w:t>
            </w:r>
            <w:r w:rsidRPr="00BB213F">
              <w:rPr>
                <w:rFonts w:ascii="Arial" w:eastAsia="Times New Roman" w:hAnsi="Arial" w:cs="Arial"/>
                <w:sz w:val="20"/>
              </w:rPr>
              <w:t>Determination of selected elements including uranium isotopes</w:t>
            </w:r>
          </w:p>
        </w:tc>
        <w:tc>
          <w:tcPr>
            <w:tcW w:w="3631" w:type="dxa"/>
            <w:tcBorders>
              <w:top w:val="single" w:sz="4" w:space="0" w:color="auto"/>
              <w:left w:val="single" w:sz="4" w:space="0" w:color="auto"/>
              <w:bottom w:val="single" w:sz="4" w:space="0" w:color="auto"/>
              <w:right w:val="single" w:sz="4" w:space="0" w:color="auto"/>
            </w:tcBorders>
          </w:tcPr>
          <w:p w14:paraId="20054B5F" w14:textId="47A91D69" w:rsidR="009F58B4" w:rsidRPr="00BB213F" w:rsidRDefault="00607FFB" w:rsidP="00607FFB">
            <w:pPr>
              <w:spacing w:after="0" w:line="240" w:lineRule="auto"/>
              <w:jc w:val="both"/>
              <w:rPr>
                <w:rFonts w:ascii="Arial" w:hAnsi="Arial" w:cs="Arial"/>
                <w:sz w:val="20"/>
              </w:rPr>
            </w:pPr>
            <w:r w:rsidRPr="00BB213F">
              <w:rPr>
                <w:rStyle w:val="Hyperlink"/>
                <w:rFonts w:ascii="Arial" w:hAnsi="Arial" w:cs="Arial"/>
                <w:color w:val="auto"/>
                <w:sz w:val="20"/>
                <w:u w:val="none"/>
              </w:rPr>
              <w:t>IS 3025 (Part 65</w:t>
            </w:r>
            <w:proofErr w:type="gramStart"/>
            <w:r w:rsidRPr="00BB213F">
              <w:rPr>
                <w:rStyle w:val="Hyperlink"/>
                <w:rFonts w:ascii="Arial" w:hAnsi="Arial" w:cs="Arial"/>
                <w:color w:val="auto"/>
                <w:sz w:val="20"/>
                <w:u w:val="none"/>
              </w:rPr>
              <w:t>) :</w:t>
            </w:r>
            <w:proofErr w:type="gramEnd"/>
            <w:r w:rsidRPr="00BB213F">
              <w:rPr>
                <w:rStyle w:val="Hyperlink"/>
                <w:rFonts w:ascii="Arial" w:hAnsi="Arial" w:cs="Arial"/>
                <w:color w:val="auto"/>
                <w:sz w:val="20"/>
                <w:u w:val="none"/>
              </w:rPr>
              <w:t xml:space="preserve"> 2022/ ISO 17294-2 : 2016 </w:t>
            </w:r>
            <w:r w:rsidR="009F58B4" w:rsidRPr="00BB213F">
              <w:rPr>
                <w:rStyle w:val="Hyperlink"/>
                <w:rFonts w:ascii="Arial" w:hAnsi="Arial" w:cs="Arial"/>
                <w:color w:val="auto"/>
                <w:sz w:val="20"/>
                <w:u w:val="none"/>
              </w:rPr>
              <w:t xml:space="preserve">Methods of </w:t>
            </w:r>
            <w:r w:rsidR="00437E3D" w:rsidRPr="00BB213F">
              <w:rPr>
                <w:rStyle w:val="Hyperlink"/>
                <w:rFonts w:ascii="Arial" w:hAnsi="Arial" w:cs="Arial"/>
                <w:color w:val="auto"/>
                <w:sz w:val="20"/>
                <w:u w:val="none"/>
              </w:rPr>
              <w:t xml:space="preserve">sampling and test (physical and chemical) for water and wastewater </w:t>
            </w:r>
            <w:r w:rsidR="009F58B4" w:rsidRPr="00BB213F">
              <w:rPr>
                <w:rStyle w:val="Hyperlink"/>
                <w:rFonts w:ascii="Arial" w:hAnsi="Arial" w:cs="Arial"/>
                <w:color w:val="auto"/>
                <w:sz w:val="20"/>
                <w:u w:val="none"/>
              </w:rPr>
              <w:t xml:space="preserve">Part 65 Application of </w:t>
            </w:r>
            <w:r w:rsidR="00437E3D" w:rsidRPr="00BB213F">
              <w:rPr>
                <w:rStyle w:val="Hyperlink"/>
                <w:rFonts w:ascii="Arial" w:hAnsi="Arial" w:cs="Arial"/>
                <w:color w:val="auto"/>
                <w:sz w:val="20"/>
                <w:u w:val="none"/>
              </w:rPr>
              <w:t xml:space="preserve">inductively coupled plasma mass spectrometry </w:t>
            </w:r>
            <w:r w:rsidR="009F58B4" w:rsidRPr="00BB213F">
              <w:rPr>
                <w:rStyle w:val="Hyperlink"/>
                <w:rFonts w:ascii="Arial" w:hAnsi="Arial" w:cs="Arial"/>
                <w:color w:val="auto"/>
                <w:sz w:val="20"/>
                <w:u w:val="none"/>
              </w:rPr>
              <w:t xml:space="preserve">(ICP-MS) — Determination of selected elements including </w:t>
            </w:r>
            <w:r w:rsidR="00437E3D" w:rsidRPr="00BB213F">
              <w:rPr>
                <w:rStyle w:val="Hyperlink"/>
                <w:rFonts w:ascii="Arial" w:hAnsi="Arial" w:cs="Arial"/>
                <w:color w:val="auto"/>
                <w:sz w:val="20"/>
                <w:u w:val="none"/>
              </w:rPr>
              <w:t xml:space="preserve">uranium isotopes </w:t>
            </w:r>
            <w:r w:rsidR="009F58B4" w:rsidRPr="00BB213F">
              <w:rPr>
                <w:rStyle w:val="Hyperlink"/>
                <w:rFonts w:ascii="Arial" w:hAnsi="Arial" w:cs="Arial"/>
                <w:color w:val="auto"/>
                <w:sz w:val="20"/>
                <w:u w:val="none"/>
              </w:rPr>
              <w:t>(</w:t>
            </w:r>
            <w:r w:rsidRPr="00BB213F">
              <w:rPr>
                <w:rStyle w:val="Hyperlink"/>
                <w:rFonts w:ascii="Arial" w:hAnsi="Arial" w:cs="Arial"/>
                <w:i/>
                <w:iCs/>
                <w:color w:val="auto"/>
                <w:sz w:val="20"/>
                <w:u w:val="none"/>
              </w:rPr>
              <w:t>first revision</w:t>
            </w:r>
            <w:r w:rsidR="009F58B4" w:rsidRPr="00BB213F">
              <w:rPr>
                <w:rStyle w:val="Hyperlink"/>
                <w:rFonts w:ascii="Arial" w:hAnsi="Arial" w:cs="Arial"/>
                <w:color w:val="auto"/>
                <w:sz w:val="20"/>
                <w:u w:val="none"/>
              </w:rPr>
              <w:t>)</w:t>
            </w:r>
          </w:p>
        </w:tc>
        <w:tc>
          <w:tcPr>
            <w:tcW w:w="2519" w:type="dxa"/>
            <w:tcBorders>
              <w:top w:val="single" w:sz="4" w:space="0" w:color="auto"/>
              <w:left w:val="single" w:sz="4" w:space="0" w:color="auto"/>
              <w:bottom w:val="single" w:sz="4" w:space="0" w:color="auto"/>
              <w:right w:val="single" w:sz="4" w:space="0" w:color="auto"/>
            </w:tcBorders>
          </w:tcPr>
          <w:p w14:paraId="06294146" w14:textId="5FB52E40" w:rsidR="009F58B4" w:rsidRPr="00BB213F" w:rsidRDefault="009F58B4" w:rsidP="009F58B4">
            <w:pPr>
              <w:widowControl w:val="0"/>
              <w:spacing w:after="0" w:line="240" w:lineRule="auto"/>
              <w:jc w:val="center"/>
              <w:rPr>
                <w:rFonts w:ascii="Arial" w:eastAsia="MS Mincho" w:hAnsi="Arial" w:cs="Arial"/>
                <w:sz w:val="20"/>
              </w:rPr>
            </w:pPr>
            <w:r w:rsidRPr="00BB213F">
              <w:rPr>
                <w:rFonts w:ascii="Arial" w:eastAsia="MS Mincho" w:hAnsi="Arial" w:cs="Arial"/>
                <w:sz w:val="20"/>
              </w:rPr>
              <w:t>Identical with ISO 17294-</w:t>
            </w:r>
            <w:proofErr w:type="gramStart"/>
            <w:r w:rsidRPr="00BB213F">
              <w:rPr>
                <w:rFonts w:ascii="Arial" w:eastAsia="MS Mincho" w:hAnsi="Arial" w:cs="Arial"/>
                <w:sz w:val="20"/>
              </w:rPr>
              <w:t>2</w:t>
            </w:r>
            <w:r w:rsidR="0005293D" w:rsidRPr="00BB213F">
              <w:rPr>
                <w:rFonts w:ascii="Arial" w:eastAsia="MS Mincho" w:hAnsi="Arial" w:cs="Arial"/>
                <w:sz w:val="20"/>
              </w:rPr>
              <w:t xml:space="preserve"> </w:t>
            </w:r>
            <w:r w:rsidRPr="00BB213F">
              <w:rPr>
                <w:rFonts w:ascii="Arial" w:eastAsia="MS Mincho" w:hAnsi="Arial" w:cs="Arial"/>
                <w:sz w:val="20"/>
              </w:rPr>
              <w:t>:</w:t>
            </w:r>
            <w:proofErr w:type="gramEnd"/>
            <w:r w:rsidR="0005293D" w:rsidRPr="00BB213F">
              <w:rPr>
                <w:rFonts w:ascii="Arial" w:eastAsia="MS Mincho" w:hAnsi="Arial" w:cs="Arial"/>
                <w:sz w:val="20"/>
              </w:rPr>
              <w:t xml:space="preserve"> </w:t>
            </w:r>
            <w:r w:rsidRPr="00BB213F">
              <w:rPr>
                <w:rFonts w:ascii="Arial" w:eastAsia="MS Mincho" w:hAnsi="Arial" w:cs="Arial"/>
                <w:sz w:val="20"/>
              </w:rPr>
              <w:t>2016</w:t>
            </w:r>
          </w:p>
        </w:tc>
      </w:tr>
      <w:tr w:rsidR="009F58B4" w:rsidRPr="00BB213F" w14:paraId="25E01C7E" w14:textId="77777777" w:rsidTr="00A4180F">
        <w:trPr>
          <w:trHeight w:val="437"/>
        </w:trPr>
        <w:tc>
          <w:tcPr>
            <w:tcW w:w="3150" w:type="dxa"/>
            <w:tcBorders>
              <w:top w:val="single" w:sz="4" w:space="0" w:color="auto"/>
              <w:left w:val="single" w:sz="4" w:space="0" w:color="auto"/>
              <w:bottom w:val="single" w:sz="4" w:space="0" w:color="auto"/>
              <w:right w:val="single" w:sz="4" w:space="0" w:color="auto"/>
            </w:tcBorders>
          </w:tcPr>
          <w:p w14:paraId="57F5475B" w14:textId="178C5896" w:rsidR="009F58B4" w:rsidRPr="00BB213F" w:rsidRDefault="009F58B4" w:rsidP="009F58B4">
            <w:pPr>
              <w:spacing w:after="0" w:line="240" w:lineRule="auto"/>
              <w:jc w:val="both"/>
              <w:outlineLvl w:val="1"/>
              <w:rPr>
                <w:rFonts w:ascii="Arial" w:eastAsia="Times New Roman" w:hAnsi="Arial" w:cs="Arial"/>
                <w:i/>
                <w:iCs/>
                <w:sz w:val="20"/>
                <w:lang w:bidi="ar-SA"/>
              </w:rPr>
            </w:pPr>
            <w:r w:rsidRPr="00BB213F">
              <w:rPr>
                <w:rFonts w:ascii="Arial" w:eastAsia="Times New Roman" w:hAnsi="Arial" w:cs="Arial"/>
                <w:sz w:val="20"/>
              </w:rPr>
              <w:t>ISO </w:t>
            </w:r>
            <w:r w:rsidR="00812BAA" w:rsidRPr="00BB213F">
              <w:rPr>
                <w:rFonts w:ascii="Arial" w:eastAsia="Times New Roman" w:hAnsi="Arial" w:cs="Arial"/>
                <w:sz w:val="20"/>
              </w:rPr>
              <w:t>18122, Solid</w:t>
            </w:r>
            <w:r w:rsidRPr="00BB213F">
              <w:rPr>
                <w:rFonts w:ascii="Arial" w:eastAsia="Times New Roman" w:hAnsi="Arial" w:cs="Arial"/>
                <w:sz w:val="20"/>
              </w:rPr>
              <w:t xml:space="preserve"> biofuels — Determination of ash content</w:t>
            </w:r>
          </w:p>
        </w:tc>
        <w:tc>
          <w:tcPr>
            <w:tcW w:w="3631" w:type="dxa"/>
            <w:tcBorders>
              <w:top w:val="single" w:sz="4" w:space="0" w:color="auto"/>
              <w:left w:val="single" w:sz="4" w:space="0" w:color="auto"/>
              <w:bottom w:val="single" w:sz="4" w:space="0" w:color="auto"/>
              <w:right w:val="single" w:sz="4" w:space="0" w:color="auto"/>
            </w:tcBorders>
          </w:tcPr>
          <w:p w14:paraId="77BF4AAB" w14:textId="2DBDE16E" w:rsidR="009F58B4" w:rsidRPr="00BB213F" w:rsidRDefault="00812BAA" w:rsidP="00544DB8">
            <w:pPr>
              <w:spacing w:after="0" w:line="240" w:lineRule="auto"/>
              <w:jc w:val="both"/>
              <w:rPr>
                <w:rFonts w:ascii="Arial" w:eastAsia="Times New Roman" w:hAnsi="Arial" w:cs="Arial"/>
                <w:i/>
                <w:iCs/>
                <w:sz w:val="20"/>
                <w:lang w:bidi="ar-SA"/>
              </w:rPr>
            </w:pPr>
            <w:r w:rsidRPr="00BB213F">
              <w:rPr>
                <w:rFonts w:ascii="Arial" w:hAnsi="Arial" w:cs="Arial"/>
                <w:sz w:val="20"/>
              </w:rPr>
              <w:t xml:space="preserve">IS </w:t>
            </w:r>
            <w:proofErr w:type="gramStart"/>
            <w:r w:rsidRPr="00BB213F">
              <w:rPr>
                <w:rFonts w:ascii="Arial" w:hAnsi="Arial" w:cs="Arial"/>
                <w:sz w:val="20"/>
              </w:rPr>
              <w:t>17653 :</w:t>
            </w:r>
            <w:proofErr w:type="gramEnd"/>
            <w:r w:rsidRPr="00BB213F">
              <w:rPr>
                <w:rFonts w:ascii="Arial" w:hAnsi="Arial" w:cs="Arial"/>
                <w:sz w:val="20"/>
              </w:rPr>
              <w:t xml:space="preserve"> 2021/ISO 18122 : 2015 </w:t>
            </w:r>
            <w:r w:rsidR="009F58B4" w:rsidRPr="00BB213F">
              <w:rPr>
                <w:rFonts w:ascii="Arial" w:hAnsi="Arial" w:cs="Arial"/>
                <w:sz w:val="20"/>
              </w:rPr>
              <w:t xml:space="preserve">Solid biofuels </w:t>
            </w:r>
            <w:r w:rsidR="002E7D22" w:rsidRPr="00BB213F">
              <w:rPr>
                <w:rFonts w:ascii="Arial" w:hAnsi="Arial" w:cs="Arial"/>
                <w:sz w:val="20"/>
              </w:rPr>
              <w:t xml:space="preserve">–– </w:t>
            </w:r>
            <w:r w:rsidR="009F58B4" w:rsidRPr="00BB213F">
              <w:rPr>
                <w:rFonts w:ascii="Arial" w:hAnsi="Arial" w:cs="Arial"/>
                <w:sz w:val="20"/>
              </w:rPr>
              <w:t xml:space="preserve">Determination of ash content </w:t>
            </w:r>
          </w:p>
        </w:tc>
        <w:tc>
          <w:tcPr>
            <w:tcW w:w="2519" w:type="dxa"/>
            <w:tcBorders>
              <w:top w:val="single" w:sz="4" w:space="0" w:color="auto"/>
              <w:left w:val="single" w:sz="4" w:space="0" w:color="auto"/>
              <w:bottom w:val="single" w:sz="4" w:space="0" w:color="auto"/>
              <w:right w:val="single" w:sz="4" w:space="0" w:color="auto"/>
            </w:tcBorders>
          </w:tcPr>
          <w:p w14:paraId="00A06F72" w14:textId="639518FA" w:rsidR="009F58B4" w:rsidRPr="00BB213F" w:rsidRDefault="009F58B4" w:rsidP="009F58B4">
            <w:pPr>
              <w:widowControl w:val="0"/>
              <w:spacing w:after="0" w:line="240" w:lineRule="auto"/>
              <w:jc w:val="center"/>
              <w:rPr>
                <w:rFonts w:ascii="Arial" w:eastAsia="MS Mincho" w:hAnsi="Arial" w:cs="Arial"/>
                <w:sz w:val="20"/>
                <w:lang w:bidi="ar-SA"/>
              </w:rPr>
            </w:pPr>
            <w:r w:rsidRPr="00BB213F">
              <w:rPr>
                <w:rFonts w:ascii="Arial" w:eastAsia="MS Mincho" w:hAnsi="Arial" w:cs="Arial"/>
                <w:sz w:val="20"/>
                <w:lang w:bidi="ar-SA"/>
              </w:rPr>
              <w:t xml:space="preserve">Identical </w:t>
            </w:r>
            <w:r w:rsidR="00812BAA" w:rsidRPr="00BB213F">
              <w:rPr>
                <w:rFonts w:ascii="Arial" w:eastAsia="MS Mincho" w:hAnsi="Arial" w:cs="Arial"/>
                <w:sz w:val="20"/>
                <w:lang w:bidi="ar-SA"/>
              </w:rPr>
              <w:t>with</w:t>
            </w:r>
            <w:r w:rsidR="00812BAA" w:rsidRPr="00BB213F">
              <w:rPr>
                <w:rFonts w:ascii="Arial" w:hAnsi="Arial" w:cs="Arial"/>
                <w:sz w:val="20"/>
              </w:rPr>
              <w:t xml:space="preserve"> IS </w:t>
            </w:r>
            <w:proofErr w:type="gramStart"/>
            <w:r w:rsidR="00812BAA" w:rsidRPr="00BB213F">
              <w:rPr>
                <w:rFonts w:ascii="Arial" w:hAnsi="Arial" w:cs="Arial"/>
                <w:sz w:val="20"/>
              </w:rPr>
              <w:t>17653 :</w:t>
            </w:r>
            <w:proofErr w:type="gramEnd"/>
            <w:r w:rsidR="00812BAA" w:rsidRPr="00BB213F">
              <w:rPr>
                <w:rFonts w:ascii="Arial" w:hAnsi="Arial" w:cs="Arial"/>
                <w:sz w:val="20"/>
              </w:rPr>
              <w:t xml:space="preserve"> 2021</w:t>
            </w:r>
          </w:p>
        </w:tc>
      </w:tr>
      <w:tr w:rsidR="009F58B4" w:rsidRPr="00BB213F" w14:paraId="5A4308F8" w14:textId="77777777" w:rsidTr="00A4180F">
        <w:trPr>
          <w:trHeight w:val="617"/>
        </w:trPr>
        <w:tc>
          <w:tcPr>
            <w:tcW w:w="3150" w:type="dxa"/>
            <w:tcBorders>
              <w:top w:val="single" w:sz="4" w:space="0" w:color="auto"/>
              <w:left w:val="single" w:sz="4" w:space="0" w:color="auto"/>
              <w:bottom w:val="single" w:sz="4" w:space="0" w:color="auto"/>
              <w:right w:val="single" w:sz="4" w:space="0" w:color="auto"/>
            </w:tcBorders>
          </w:tcPr>
          <w:p w14:paraId="21B1CA78" w14:textId="77777777" w:rsidR="009F58B4" w:rsidRPr="00BB213F" w:rsidRDefault="009F58B4" w:rsidP="009F58B4">
            <w:pPr>
              <w:spacing w:after="0" w:line="240" w:lineRule="auto"/>
              <w:jc w:val="both"/>
              <w:rPr>
                <w:rFonts w:ascii="Arial" w:eastAsia="Times New Roman" w:hAnsi="Arial" w:cs="Arial"/>
                <w:sz w:val="20"/>
              </w:rPr>
            </w:pPr>
            <w:r w:rsidRPr="00BB213F">
              <w:rPr>
                <w:rFonts w:ascii="Arial" w:eastAsia="Times New Roman" w:hAnsi="Arial" w:cs="Arial"/>
                <w:sz w:val="20"/>
              </w:rPr>
              <w:t>ISO 18134-3, Solid biofuels — Determination of moisture content — Oven dry method — Part 3: Moisture in general analysis sample</w:t>
            </w:r>
          </w:p>
        </w:tc>
        <w:tc>
          <w:tcPr>
            <w:tcW w:w="3631" w:type="dxa"/>
            <w:tcBorders>
              <w:top w:val="single" w:sz="4" w:space="0" w:color="auto"/>
              <w:left w:val="single" w:sz="4" w:space="0" w:color="auto"/>
              <w:bottom w:val="single" w:sz="4" w:space="0" w:color="auto"/>
              <w:right w:val="single" w:sz="4" w:space="0" w:color="auto"/>
            </w:tcBorders>
          </w:tcPr>
          <w:p w14:paraId="3CB12184" w14:textId="2830D9BC" w:rsidR="009F58B4" w:rsidRPr="00BB213F" w:rsidRDefault="009F58B4" w:rsidP="009F58B4">
            <w:pPr>
              <w:spacing w:after="0" w:line="240" w:lineRule="auto"/>
              <w:jc w:val="both"/>
              <w:rPr>
                <w:rFonts w:ascii="Arial" w:hAnsi="Arial" w:cs="Arial"/>
                <w:sz w:val="20"/>
              </w:rPr>
            </w:pPr>
            <w:r w:rsidRPr="00BB213F">
              <w:rPr>
                <w:rStyle w:val="Hyperlink"/>
                <w:rFonts w:ascii="Arial" w:hAnsi="Arial" w:cs="Arial"/>
                <w:color w:val="auto"/>
                <w:sz w:val="20"/>
                <w:u w:val="none"/>
              </w:rPr>
              <w:t>PCD 07 (25096)</w:t>
            </w:r>
            <w:r w:rsidR="00812BAA" w:rsidRPr="00BB213F">
              <w:rPr>
                <w:rStyle w:val="Hyperlink"/>
                <w:rFonts w:ascii="Arial" w:hAnsi="Arial" w:cs="Arial"/>
                <w:color w:val="auto"/>
                <w:sz w:val="20"/>
                <w:u w:val="none"/>
              </w:rPr>
              <w:t>/ISO 18134-3:2023</w:t>
            </w:r>
            <w:r w:rsidRPr="00BB213F">
              <w:rPr>
                <w:rFonts w:ascii="Arial" w:hAnsi="Arial" w:cs="Arial"/>
                <w:sz w:val="20"/>
              </w:rPr>
              <w:t xml:space="preserve"> Solid biofuels — Determination of moisture content — Oven dry method: Part 3 Moisture in general analysis sample </w:t>
            </w:r>
          </w:p>
        </w:tc>
        <w:tc>
          <w:tcPr>
            <w:tcW w:w="2519" w:type="dxa"/>
            <w:tcBorders>
              <w:top w:val="single" w:sz="4" w:space="0" w:color="auto"/>
              <w:left w:val="single" w:sz="4" w:space="0" w:color="auto"/>
              <w:bottom w:val="single" w:sz="4" w:space="0" w:color="auto"/>
              <w:right w:val="single" w:sz="4" w:space="0" w:color="auto"/>
            </w:tcBorders>
          </w:tcPr>
          <w:p w14:paraId="725FA4D2" w14:textId="59694FC0" w:rsidR="009F58B4" w:rsidRPr="00BB213F" w:rsidRDefault="009F58B4" w:rsidP="009F58B4">
            <w:pPr>
              <w:widowControl w:val="0"/>
              <w:spacing w:after="0" w:line="240" w:lineRule="auto"/>
              <w:jc w:val="center"/>
              <w:rPr>
                <w:rFonts w:ascii="Arial" w:eastAsia="MS Mincho" w:hAnsi="Arial" w:cs="Arial"/>
                <w:sz w:val="20"/>
              </w:rPr>
            </w:pPr>
            <w:r w:rsidRPr="00BB213F">
              <w:rPr>
                <w:rFonts w:ascii="Arial" w:eastAsia="MS Mincho" w:hAnsi="Arial" w:cs="Arial"/>
                <w:sz w:val="20"/>
              </w:rPr>
              <w:t xml:space="preserve">Identical </w:t>
            </w:r>
          </w:p>
        </w:tc>
      </w:tr>
      <w:bookmarkEnd w:id="1"/>
    </w:tbl>
    <w:p w14:paraId="58BBF586" w14:textId="77777777" w:rsidR="00824A2D" w:rsidRPr="00BB213F" w:rsidRDefault="00824A2D" w:rsidP="00B839D1">
      <w:pPr>
        <w:widowControl w:val="0"/>
        <w:spacing w:after="0" w:line="240" w:lineRule="auto"/>
        <w:jc w:val="both"/>
        <w:rPr>
          <w:rFonts w:ascii="Arial" w:eastAsia="Times New Roman" w:hAnsi="Arial" w:cs="Arial"/>
          <w:snapToGrid w:val="0"/>
          <w:sz w:val="20"/>
          <w:lang w:bidi="ar-SA"/>
        </w:rPr>
      </w:pPr>
    </w:p>
    <w:p w14:paraId="3DC6F0F1" w14:textId="77777777" w:rsidR="007863BA" w:rsidRPr="00BB213F" w:rsidRDefault="007863BA" w:rsidP="00B839D1">
      <w:pPr>
        <w:widowControl w:val="0"/>
        <w:spacing w:after="0" w:line="240" w:lineRule="auto"/>
        <w:jc w:val="both"/>
        <w:rPr>
          <w:rFonts w:ascii="Arial" w:eastAsia="Times New Roman" w:hAnsi="Arial" w:cs="Arial"/>
          <w:snapToGrid w:val="0"/>
          <w:sz w:val="20"/>
          <w:lang w:bidi="ar-SA"/>
        </w:rPr>
      </w:pPr>
      <w:r w:rsidRPr="00BB213F">
        <w:rPr>
          <w:rFonts w:ascii="Arial" w:eastAsia="Times New Roman" w:hAnsi="Arial" w:cs="Arial"/>
          <w:snapToGrid w:val="0"/>
          <w:sz w:val="20"/>
          <w:lang w:bidi="ar-SA"/>
        </w:rPr>
        <w:t>The Technical Committee has reviewed the provisions of the following International Standards referred in this adopted standard and has decided that they are acceptable for use in conjunction with this standard:</w:t>
      </w:r>
    </w:p>
    <w:p w14:paraId="14163089" w14:textId="77777777" w:rsidR="007863BA" w:rsidRPr="00BB213F" w:rsidRDefault="007863BA" w:rsidP="00B839D1">
      <w:pPr>
        <w:widowControl w:val="0"/>
        <w:spacing w:after="0" w:line="240" w:lineRule="auto"/>
        <w:jc w:val="both"/>
        <w:rPr>
          <w:rFonts w:ascii="Arial" w:eastAsia="Times New Roman" w:hAnsi="Arial" w:cs="Arial"/>
          <w:snapToGrid w:val="0"/>
          <w:sz w:val="20"/>
          <w:lang w:bidi="ar-SA"/>
        </w:rPr>
      </w:pPr>
    </w:p>
    <w:tbl>
      <w:tblPr>
        <w:tblStyle w:val="TableGrid"/>
        <w:tblW w:w="0" w:type="auto"/>
        <w:tblLook w:val="04A0" w:firstRow="1" w:lastRow="0" w:firstColumn="1" w:lastColumn="0" w:noHBand="0" w:noVBand="1"/>
      </w:tblPr>
      <w:tblGrid>
        <w:gridCol w:w="2605"/>
        <w:gridCol w:w="6745"/>
      </w:tblGrid>
      <w:tr w:rsidR="00B839D1" w:rsidRPr="00BB213F" w14:paraId="432C594A" w14:textId="77777777" w:rsidTr="00BB213F">
        <w:tc>
          <w:tcPr>
            <w:tcW w:w="2605" w:type="dxa"/>
          </w:tcPr>
          <w:p w14:paraId="3250A939" w14:textId="77777777" w:rsidR="007863BA" w:rsidRPr="00BB213F" w:rsidRDefault="007863BA" w:rsidP="00B839D1">
            <w:pPr>
              <w:widowControl w:val="0"/>
              <w:jc w:val="center"/>
              <w:rPr>
                <w:rFonts w:ascii="Arial" w:eastAsia="Times New Roman" w:hAnsi="Arial" w:cs="Arial"/>
                <w:i/>
                <w:iCs/>
                <w:snapToGrid w:val="0"/>
                <w:sz w:val="20"/>
                <w:lang w:bidi="ar-SA"/>
              </w:rPr>
            </w:pPr>
            <w:r w:rsidRPr="00BB213F">
              <w:rPr>
                <w:rFonts w:ascii="Arial" w:eastAsia="Times New Roman" w:hAnsi="Arial" w:cs="Arial"/>
                <w:i/>
                <w:iCs/>
                <w:snapToGrid w:val="0"/>
                <w:sz w:val="20"/>
                <w:lang w:bidi="ar-SA"/>
              </w:rPr>
              <w:t>International Standard</w:t>
            </w:r>
          </w:p>
        </w:tc>
        <w:tc>
          <w:tcPr>
            <w:tcW w:w="6745" w:type="dxa"/>
          </w:tcPr>
          <w:p w14:paraId="5B78C50D" w14:textId="77777777" w:rsidR="007863BA" w:rsidRPr="00BB213F" w:rsidRDefault="007863BA" w:rsidP="00B839D1">
            <w:pPr>
              <w:widowControl w:val="0"/>
              <w:jc w:val="center"/>
              <w:rPr>
                <w:rFonts w:ascii="Arial" w:eastAsia="Times New Roman" w:hAnsi="Arial" w:cs="Arial"/>
                <w:i/>
                <w:iCs/>
                <w:snapToGrid w:val="0"/>
                <w:sz w:val="20"/>
                <w:lang w:bidi="ar-SA"/>
              </w:rPr>
            </w:pPr>
            <w:r w:rsidRPr="00BB213F">
              <w:rPr>
                <w:rFonts w:ascii="Arial" w:eastAsia="Times New Roman" w:hAnsi="Arial" w:cs="Arial"/>
                <w:i/>
                <w:iCs/>
                <w:snapToGrid w:val="0"/>
                <w:sz w:val="20"/>
                <w:lang w:bidi="ar-SA"/>
              </w:rPr>
              <w:t>Title</w:t>
            </w:r>
          </w:p>
        </w:tc>
      </w:tr>
      <w:tr w:rsidR="00544DB8" w:rsidRPr="00BB213F" w14:paraId="1BF9B6B6" w14:textId="77777777" w:rsidTr="004C674F">
        <w:tc>
          <w:tcPr>
            <w:tcW w:w="2605" w:type="dxa"/>
          </w:tcPr>
          <w:p w14:paraId="5BF6B110" w14:textId="49568664" w:rsidR="00544DB8" w:rsidRPr="00BB213F" w:rsidRDefault="00544DB8" w:rsidP="00BB213F">
            <w:pPr>
              <w:widowControl w:val="0"/>
              <w:rPr>
                <w:rFonts w:ascii="Arial" w:eastAsia="Times New Roman" w:hAnsi="Arial" w:cs="Arial"/>
                <w:i/>
                <w:iCs/>
                <w:snapToGrid w:val="0"/>
                <w:sz w:val="20"/>
                <w:lang w:bidi="ar-SA"/>
              </w:rPr>
            </w:pPr>
            <w:r w:rsidRPr="00BB213F">
              <w:rPr>
                <w:rFonts w:ascii="Arial" w:eastAsia="Times New Roman" w:hAnsi="Arial" w:cs="Arial"/>
                <w:sz w:val="20"/>
                <w:lang w:bidi="ar-SA"/>
              </w:rPr>
              <w:lastRenderedPageBreak/>
              <w:t>ISO 7980</w:t>
            </w:r>
          </w:p>
        </w:tc>
        <w:tc>
          <w:tcPr>
            <w:tcW w:w="6745" w:type="dxa"/>
          </w:tcPr>
          <w:p w14:paraId="21F3AB27" w14:textId="5C37ABA1" w:rsidR="00544DB8" w:rsidRPr="00BB213F" w:rsidRDefault="00812BAA" w:rsidP="00BB213F">
            <w:pPr>
              <w:widowControl w:val="0"/>
              <w:rPr>
                <w:rFonts w:ascii="Arial" w:eastAsia="Times New Roman" w:hAnsi="Arial" w:cs="Arial"/>
                <w:i/>
                <w:iCs/>
                <w:snapToGrid w:val="0"/>
                <w:sz w:val="20"/>
                <w:lang w:bidi="ar-SA"/>
              </w:rPr>
            </w:pPr>
            <w:r w:rsidRPr="00BB213F">
              <w:rPr>
                <w:rFonts w:ascii="Arial" w:hAnsi="Arial" w:cs="Arial"/>
                <w:sz w:val="20"/>
              </w:rPr>
              <w:t>Water quality — Determination of calcium and magnesium — Atomic absorption spectrometric method</w:t>
            </w:r>
          </w:p>
        </w:tc>
      </w:tr>
      <w:tr w:rsidR="00544DB8" w:rsidRPr="00BB213F" w14:paraId="43D7D5BD" w14:textId="77777777" w:rsidTr="004C674F">
        <w:tc>
          <w:tcPr>
            <w:tcW w:w="2605" w:type="dxa"/>
          </w:tcPr>
          <w:p w14:paraId="4B91B65E" w14:textId="647496CA" w:rsidR="00544DB8" w:rsidRPr="00BB213F" w:rsidRDefault="00812BAA" w:rsidP="00BB213F">
            <w:pPr>
              <w:widowControl w:val="0"/>
              <w:rPr>
                <w:rFonts w:ascii="Arial" w:eastAsia="Times New Roman" w:hAnsi="Arial" w:cs="Arial"/>
                <w:i/>
                <w:iCs/>
                <w:snapToGrid w:val="0"/>
                <w:sz w:val="20"/>
                <w:lang w:bidi="ar-SA"/>
              </w:rPr>
            </w:pPr>
            <w:hyperlink r:id="rId11" w:anchor="iso:std:iso:9964:-1:en" w:history="1">
              <w:r w:rsidRPr="00BB213F">
                <w:rPr>
                  <w:rFonts w:ascii="Arial" w:eastAsia="Times New Roman" w:hAnsi="Arial" w:cs="Arial"/>
                  <w:sz w:val="20"/>
                </w:rPr>
                <w:t>ISO 9964-1</w:t>
              </w:r>
            </w:hyperlink>
          </w:p>
          <w:p w14:paraId="620F0531" w14:textId="77777777" w:rsidR="00544DB8" w:rsidRPr="00BB213F" w:rsidRDefault="00544DB8" w:rsidP="00BB213F">
            <w:pPr>
              <w:widowControl w:val="0"/>
              <w:rPr>
                <w:rFonts w:ascii="Arial" w:eastAsia="Times New Roman" w:hAnsi="Arial" w:cs="Arial"/>
                <w:i/>
                <w:iCs/>
                <w:snapToGrid w:val="0"/>
                <w:sz w:val="20"/>
                <w:lang w:bidi="ar-SA"/>
              </w:rPr>
            </w:pPr>
          </w:p>
        </w:tc>
        <w:tc>
          <w:tcPr>
            <w:tcW w:w="6745" w:type="dxa"/>
          </w:tcPr>
          <w:p w14:paraId="75471AB0" w14:textId="4BF68F90" w:rsidR="00544DB8" w:rsidRPr="00BB213F" w:rsidRDefault="00812BAA" w:rsidP="00BB213F">
            <w:pPr>
              <w:widowControl w:val="0"/>
              <w:rPr>
                <w:rFonts w:ascii="Arial" w:eastAsia="Times New Roman" w:hAnsi="Arial" w:cs="Arial"/>
                <w:i/>
                <w:iCs/>
                <w:snapToGrid w:val="0"/>
                <w:sz w:val="20"/>
                <w:lang w:bidi="ar-SA"/>
              </w:rPr>
            </w:pPr>
            <w:r w:rsidRPr="00BB213F">
              <w:rPr>
                <w:rFonts w:ascii="Arial" w:eastAsia="Times New Roman" w:hAnsi="Arial" w:cs="Arial"/>
                <w:sz w:val="20"/>
              </w:rPr>
              <w:t>Water quality — Determination of sodium and potassium — Part 1: Determination of sodium by atomic absorption spectrometry</w:t>
            </w:r>
          </w:p>
        </w:tc>
      </w:tr>
      <w:tr w:rsidR="00544DB8" w:rsidRPr="00BB213F" w14:paraId="105EF8B2" w14:textId="77777777" w:rsidTr="004C674F">
        <w:tc>
          <w:tcPr>
            <w:tcW w:w="2605" w:type="dxa"/>
          </w:tcPr>
          <w:p w14:paraId="141947ED" w14:textId="49A9B1C5" w:rsidR="00544DB8" w:rsidRPr="00BB213F" w:rsidRDefault="00812BAA" w:rsidP="00BB213F">
            <w:pPr>
              <w:widowControl w:val="0"/>
              <w:rPr>
                <w:rFonts w:ascii="Arial" w:eastAsia="Times New Roman" w:hAnsi="Arial" w:cs="Arial"/>
                <w:i/>
                <w:iCs/>
                <w:snapToGrid w:val="0"/>
                <w:sz w:val="20"/>
                <w:lang w:bidi="ar-SA"/>
              </w:rPr>
            </w:pPr>
            <w:hyperlink r:id="rId12" w:anchor="iso:std:iso:9964:-2:en" w:history="1">
              <w:r w:rsidRPr="00BB213F">
                <w:rPr>
                  <w:rFonts w:ascii="Arial" w:eastAsia="Times New Roman" w:hAnsi="Arial" w:cs="Arial"/>
                  <w:sz w:val="20"/>
                </w:rPr>
                <w:t>ISO 9964-2</w:t>
              </w:r>
            </w:hyperlink>
            <w:r w:rsidRPr="00BB213F">
              <w:rPr>
                <w:rFonts w:ascii="Arial" w:eastAsia="Times New Roman" w:hAnsi="Arial" w:cs="Arial"/>
                <w:sz w:val="20"/>
              </w:rPr>
              <w:t xml:space="preserve">  </w:t>
            </w:r>
          </w:p>
        </w:tc>
        <w:tc>
          <w:tcPr>
            <w:tcW w:w="6745" w:type="dxa"/>
          </w:tcPr>
          <w:p w14:paraId="28E911DC" w14:textId="3D2544DF" w:rsidR="00544DB8" w:rsidRPr="00BB213F" w:rsidRDefault="00812BAA" w:rsidP="00BB213F">
            <w:pPr>
              <w:widowControl w:val="0"/>
              <w:rPr>
                <w:rFonts w:ascii="Arial" w:eastAsia="Times New Roman" w:hAnsi="Arial" w:cs="Arial"/>
                <w:i/>
                <w:iCs/>
                <w:snapToGrid w:val="0"/>
                <w:sz w:val="20"/>
                <w:lang w:bidi="ar-SA"/>
              </w:rPr>
            </w:pPr>
            <w:r w:rsidRPr="00BB213F">
              <w:rPr>
                <w:rFonts w:ascii="Arial" w:eastAsia="Times New Roman" w:hAnsi="Arial" w:cs="Arial"/>
                <w:sz w:val="20"/>
              </w:rPr>
              <w:t>Water quality — Determination of sodium and potassium — Part 2: Determination of potassium by atomic absorption spectrometry</w:t>
            </w:r>
          </w:p>
        </w:tc>
      </w:tr>
      <w:tr w:rsidR="00544DB8" w:rsidRPr="00BB213F" w14:paraId="4F9C7C3B" w14:textId="77777777" w:rsidTr="004C674F">
        <w:tc>
          <w:tcPr>
            <w:tcW w:w="2605" w:type="dxa"/>
          </w:tcPr>
          <w:p w14:paraId="468973F3" w14:textId="77777777" w:rsidR="00544DB8" w:rsidRPr="00BB213F" w:rsidRDefault="00544DB8" w:rsidP="00BB213F">
            <w:pPr>
              <w:widowControl w:val="0"/>
              <w:rPr>
                <w:rFonts w:ascii="Arial" w:eastAsia="Times New Roman" w:hAnsi="Arial" w:cs="Arial"/>
                <w:i/>
                <w:iCs/>
                <w:snapToGrid w:val="0"/>
                <w:sz w:val="20"/>
                <w:lang w:bidi="ar-SA"/>
              </w:rPr>
            </w:pPr>
          </w:p>
          <w:p w14:paraId="6F90C19C" w14:textId="0793B84D" w:rsidR="00544DB8" w:rsidRPr="00BB213F" w:rsidRDefault="00812BAA" w:rsidP="00BB213F">
            <w:pPr>
              <w:widowControl w:val="0"/>
              <w:rPr>
                <w:rFonts w:ascii="Arial" w:eastAsia="Times New Roman" w:hAnsi="Arial" w:cs="Arial"/>
                <w:i/>
                <w:iCs/>
                <w:snapToGrid w:val="0"/>
                <w:sz w:val="20"/>
                <w:lang w:bidi="ar-SA"/>
              </w:rPr>
            </w:pPr>
            <w:hyperlink r:id="rId13" w:anchor="iso:std:iso:9964:-3:en" w:history="1">
              <w:r w:rsidRPr="00BB213F">
                <w:rPr>
                  <w:rFonts w:ascii="Arial" w:eastAsia="Times New Roman" w:hAnsi="Arial" w:cs="Arial"/>
                  <w:sz w:val="20"/>
                </w:rPr>
                <w:t>ISO 9964-3</w:t>
              </w:r>
            </w:hyperlink>
          </w:p>
        </w:tc>
        <w:tc>
          <w:tcPr>
            <w:tcW w:w="6745" w:type="dxa"/>
          </w:tcPr>
          <w:p w14:paraId="1F606201" w14:textId="2E97BD6D" w:rsidR="00544DB8" w:rsidRPr="00BB213F" w:rsidRDefault="00812BAA" w:rsidP="00BB213F">
            <w:pPr>
              <w:widowControl w:val="0"/>
              <w:rPr>
                <w:rFonts w:ascii="Arial" w:eastAsia="Times New Roman" w:hAnsi="Arial" w:cs="Arial"/>
                <w:i/>
                <w:iCs/>
                <w:snapToGrid w:val="0"/>
                <w:sz w:val="20"/>
                <w:lang w:bidi="ar-SA"/>
              </w:rPr>
            </w:pPr>
            <w:r w:rsidRPr="00BB213F">
              <w:rPr>
                <w:rFonts w:ascii="Arial" w:eastAsia="Times New Roman" w:hAnsi="Arial" w:cs="Arial"/>
                <w:sz w:val="20"/>
              </w:rPr>
              <w:t xml:space="preserve">Water quality — Determination of sodium and potassium — Part 3: Determination of sodium and potassium by flame emission spectrometry  </w:t>
            </w:r>
          </w:p>
        </w:tc>
      </w:tr>
      <w:tr w:rsidR="00812BAA" w:rsidRPr="00BB213F" w14:paraId="299B232F" w14:textId="77777777" w:rsidTr="004C674F">
        <w:tc>
          <w:tcPr>
            <w:tcW w:w="2605" w:type="dxa"/>
          </w:tcPr>
          <w:p w14:paraId="2EBAA14D" w14:textId="6B2C88A7" w:rsidR="00812BAA" w:rsidRPr="00BB213F" w:rsidRDefault="00812BAA" w:rsidP="00BB213F">
            <w:pPr>
              <w:widowControl w:val="0"/>
              <w:rPr>
                <w:rFonts w:ascii="Arial" w:eastAsia="Times New Roman" w:hAnsi="Arial" w:cs="Arial"/>
                <w:i/>
                <w:iCs/>
                <w:snapToGrid w:val="0"/>
                <w:sz w:val="20"/>
                <w:lang w:bidi="ar-SA"/>
              </w:rPr>
            </w:pPr>
            <w:hyperlink r:id="rId14" w:anchor="iso:std:iso:14780:en" w:history="1">
              <w:r w:rsidRPr="00BB213F">
                <w:rPr>
                  <w:rFonts w:ascii="Arial" w:eastAsia="Times New Roman" w:hAnsi="Arial" w:cs="Arial"/>
                  <w:sz w:val="20"/>
                </w:rPr>
                <w:t>ISO 14780</w:t>
              </w:r>
            </w:hyperlink>
          </w:p>
        </w:tc>
        <w:tc>
          <w:tcPr>
            <w:tcW w:w="6745" w:type="dxa"/>
          </w:tcPr>
          <w:p w14:paraId="48CADD5D" w14:textId="6089BD1B" w:rsidR="00812BAA" w:rsidRPr="00BB213F" w:rsidRDefault="00812BAA" w:rsidP="00BB213F">
            <w:pPr>
              <w:widowControl w:val="0"/>
              <w:rPr>
                <w:rFonts w:ascii="Arial" w:eastAsia="Times New Roman" w:hAnsi="Arial" w:cs="Arial"/>
                <w:i/>
                <w:iCs/>
                <w:snapToGrid w:val="0"/>
                <w:sz w:val="20"/>
                <w:lang w:bidi="ar-SA"/>
              </w:rPr>
            </w:pPr>
            <w:r w:rsidRPr="00BB213F">
              <w:rPr>
                <w:rFonts w:ascii="Arial" w:eastAsia="Times New Roman" w:hAnsi="Arial" w:cs="Arial"/>
                <w:sz w:val="20"/>
              </w:rPr>
              <w:t>Solid biofuels — Sample preparation</w:t>
            </w:r>
          </w:p>
        </w:tc>
      </w:tr>
      <w:tr w:rsidR="00812BAA" w:rsidRPr="00BB213F" w14:paraId="27A2F75F" w14:textId="77777777" w:rsidTr="004C674F">
        <w:tc>
          <w:tcPr>
            <w:tcW w:w="2605" w:type="dxa"/>
          </w:tcPr>
          <w:p w14:paraId="0E5ABCD6" w14:textId="2A88A4D1" w:rsidR="00812BAA" w:rsidRPr="00BB213F" w:rsidRDefault="00812BAA" w:rsidP="00BB213F">
            <w:pPr>
              <w:widowControl w:val="0"/>
              <w:rPr>
                <w:rFonts w:ascii="Arial" w:eastAsia="Times New Roman" w:hAnsi="Arial" w:cs="Arial"/>
                <w:i/>
                <w:iCs/>
                <w:snapToGrid w:val="0"/>
                <w:sz w:val="20"/>
                <w:lang w:bidi="ar-SA"/>
              </w:rPr>
            </w:pPr>
            <w:hyperlink r:id="rId15" w:anchor="iso:std:iso:16559:en" w:history="1">
              <w:r w:rsidRPr="00BB213F">
                <w:rPr>
                  <w:rFonts w:ascii="Arial" w:eastAsia="Times New Roman" w:hAnsi="Arial" w:cs="Arial"/>
                  <w:sz w:val="20"/>
                </w:rPr>
                <w:t>ISO 16559</w:t>
              </w:r>
            </w:hyperlink>
          </w:p>
        </w:tc>
        <w:tc>
          <w:tcPr>
            <w:tcW w:w="6745" w:type="dxa"/>
          </w:tcPr>
          <w:p w14:paraId="4A0B1EA2" w14:textId="52C3B5A5" w:rsidR="00812BAA" w:rsidRPr="00BB213F" w:rsidRDefault="00812BAA" w:rsidP="00BB213F">
            <w:pPr>
              <w:widowControl w:val="0"/>
              <w:rPr>
                <w:rFonts w:ascii="Arial" w:eastAsia="Times New Roman" w:hAnsi="Arial" w:cs="Arial"/>
                <w:i/>
                <w:iCs/>
                <w:snapToGrid w:val="0"/>
                <w:sz w:val="20"/>
                <w:lang w:bidi="ar-SA"/>
              </w:rPr>
            </w:pPr>
            <w:r w:rsidRPr="00BB213F">
              <w:rPr>
                <w:rFonts w:ascii="Arial" w:eastAsia="Times New Roman" w:hAnsi="Arial" w:cs="Arial"/>
                <w:sz w:val="20"/>
              </w:rPr>
              <w:t xml:space="preserve">Solid biofuels — </w:t>
            </w:r>
            <w:r w:rsidRPr="00BB213F">
              <w:rPr>
                <w:rFonts w:ascii="Arial" w:hAnsi="Arial" w:cs="Arial"/>
                <w:sz w:val="20"/>
              </w:rPr>
              <w:t xml:space="preserve">Vocabulary </w:t>
            </w:r>
          </w:p>
        </w:tc>
      </w:tr>
      <w:tr w:rsidR="00812BAA" w:rsidRPr="00BB213F" w14:paraId="27FC9A5F" w14:textId="77777777" w:rsidTr="00BB213F">
        <w:tc>
          <w:tcPr>
            <w:tcW w:w="2605" w:type="dxa"/>
          </w:tcPr>
          <w:p w14:paraId="5DA9A6BA" w14:textId="77777777" w:rsidR="00812BAA" w:rsidRPr="00BB213F" w:rsidRDefault="00812BAA" w:rsidP="00812BAA">
            <w:pPr>
              <w:widowControl w:val="0"/>
              <w:jc w:val="both"/>
              <w:rPr>
                <w:rFonts w:ascii="Arial" w:eastAsia="Times New Roman" w:hAnsi="Arial" w:cs="Arial"/>
                <w:snapToGrid w:val="0"/>
                <w:sz w:val="20"/>
                <w:lang w:bidi="ar-SA"/>
              </w:rPr>
            </w:pPr>
            <w:r w:rsidRPr="00BB213F">
              <w:rPr>
                <w:rFonts w:ascii="Arial" w:eastAsia="Times New Roman" w:hAnsi="Arial" w:cs="Arial"/>
                <w:sz w:val="20"/>
              </w:rPr>
              <w:t>ISO 16993</w:t>
            </w:r>
          </w:p>
        </w:tc>
        <w:tc>
          <w:tcPr>
            <w:tcW w:w="6745" w:type="dxa"/>
          </w:tcPr>
          <w:p w14:paraId="506E0682" w14:textId="77777777" w:rsidR="00812BAA" w:rsidRPr="00BB213F" w:rsidRDefault="00812BAA" w:rsidP="00BB213F">
            <w:pPr>
              <w:widowControl w:val="0"/>
              <w:rPr>
                <w:rFonts w:ascii="Arial" w:eastAsia="Times New Roman" w:hAnsi="Arial" w:cs="Arial"/>
                <w:snapToGrid w:val="0"/>
                <w:sz w:val="20"/>
                <w:lang w:bidi="ar-SA"/>
              </w:rPr>
            </w:pPr>
            <w:r w:rsidRPr="00BB213F">
              <w:rPr>
                <w:rFonts w:ascii="Arial" w:eastAsia="Times New Roman" w:hAnsi="Arial" w:cs="Arial"/>
                <w:sz w:val="20"/>
              </w:rPr>
              <w:t>Solid biofuels — Conversion of analytical results from one basis to another</w:t>
            </w:r>
          </w:p>
        </w:tc>
      </w:tr>
    </w:tbl>
    <w:p w14:paraId="6E3CCA55" w14:textId="77777777" w:rsidR="007863BA" w:rsidRPr="00BB213F" w:rsidRDefault="007863BA" w:rsidP="00B839D1">
      <w:pPr>
        <w:widowControl w:val="0"/>
        <w:spacing w:after="0" w:line="240" w:lineRule="auto"/>
        <w:jc w:val="both"/>
        <w:rPr>
          <w:rFonts w:ascii="Arial" w:eastAsia="Times New Roman" w:hAnsi="Arial" w:cs="Arial"/>
          <w:snapToGrid w:val="0"/>
          <w:sz w:val="20"/>
          <w:lang w:bidi="ar-SA"/>
        </w:rPr>
      </w:pPr>
    </w:p>
    <w:p w14:paraId="40CFB9F2" w14:textId="77777777" w:rsidR="00812BAA" w:rsidRPr="00BB213F" w:rsidRDefault="00812BAA" w:rsidP="00812BAA">
      <w:pPr>
        <w:widowControl w:val="0"/>
        <w:spacing w:after="0" w:line="240" w:lineRule="auto"/>
        <w:jc w:val="both"/>
        <w:rPr>
          <w:rFonts w:ascii="Arial" w:eastAsia="Times New Roman" w:hAnsi="Arial" w:cs="Arial"/>
          <w:snapToGrid w:val="0"/>
          <w:sz w:val="20"/>
          <w:lang w:bidi="ar-SA"/>
        </w:rPr>
      </w:pPr>
      <w:r w:rsidRPr="00BB213F">
        <w:rPr>
          <w:rFonts w:ascii="Arial" w:eastAsia="Times New Roman" w:hAnsi="Arial" w:cs="Arial"/>
          <w:snapToGrid w:val="0"/>
          <w:sz w:val="20"/>
          <w:lang w:bidi="ar-SA"/>
        </w:rPr>
        <w:t>For tropical countries like India, the standard temperature and the relative humidity shall be taken as (27 ± 2) °C and (65 ± 5) percent, respectively.</w:t>
      </w:r>
    </w:p>
    <w:p w14:paraId="1A56E0DF" w14:textId="77777777" w:rsidR="00812BAA" w:rsidRPr="00F158A9" w:rsidRDefault="00812BAA" w:rsidP="00812BAA">
      <w:pPr>
        <w:widowControl w:val="0"/>
        <w:spacing w:after="0" w:line="240" w:lineRule="auto"/>
        <w:jc w:val="both"/>
        <w:rPr>
          <w:rFonts w:ascii="Arial" w:eastAsia="Times New Roman" w:hAnsi="Arial" w:cs="Arial"/>
          <w:snapToGrid w:val="0"/>
          <w:sz w:val="20"/>
          <w:lang w:bidi="ar-SA"/>
        </w:rPr>
      </w:pPr>
    </w:p>
    <w:p w14:paraId="206AA30E" w14:textId="2507BE32" w:rsidR="007863BA" w:rsidRPr="00BB213F" w:rsidRDefault="007863BA" w:rsidP="00B839D1">
      <w:pPr>
        <w:widowControl w:val="0"/>
        <w:spacing w:after="0" w:line="240" w:lineRule="auto"/>
        <w:jc w:val="both"/>
        <w:rPr>
          <w:rFonts w:ascii="Arial" w:eastAsia="Times New Roman" w:hAnsi="Arial" w:cs="Arial"/>
          <w:snapToGrid w:val="0"/>
          <w:sz w:val="20"/>
          <w:lang w:bidi="ar-SA"/>
        </w:rPr>
      </w:pPr>
      <w:r w:rsidRPr="00BB213F">
        <w:rPr>
          <w:rFonts w:ascii="Arial" w:eastAsia="Times New Roman" w:hAnsi="Arial" w:cs="Arial"/>
          <w:snapToGrid w:val="0"/>
          <w:sz w:val="20"/>
          <w:lang w:bidi="ar-SA"/>
        </w:rPr>
        <w:t xml:space="preserve">In reporting the result of a test or analysis made in accordance with this standard, if the final value, observed or calculated, is to be rounded off, it shall be done in accordance with IS </w:t>
      </w:r>
      <w:proofErr w:type="gramStart"/>
      <w:r w:rsidRPr="00BB213F">
        <w:rPr>
          <w:rFonts w:ascii="Arial" w:eastAsia="Times New Roman" w:hAnsi="Arial" w:cs="Arial"/>
          <w:snapToGrid w:val="0"/>
          <w:sz w:val="20"/>
          <w:lang w:bidi="ar-SA"/>
        </w:rPr>
        <w:t>2</w:t>
      </w:r>
      <w:r w:rsidR="009F43EF" w:rsidRPr="00BB213F">
        <w:rPr>
          <w:rFonts w:ascii="Arial" w:eastAsia="Times New Roman" w:hAnsi="Arial" w:cs="Arial"/>
          <w:snapToGrid w:val="0"/>
          <w:sz w:val="20"/>
          <w:lang w:bidi="ar-SA"/>
        </w:rPr>
        <w:t xml:space="preserve"> </w:t>
      </w:r>
      <w:r w:rsidRPr="00BB213F">
        <w:rPr>
          <w:rFonts w:ascii="Arial" w:eastAsia="Times New Roman" w:hAnsi="Arial" w:cs="Arial"/>
          <w:snapToGrid w:val="0"/>
          <w:sz w:val="20"/>
          <w:lang w:bidi="ar-SA"/>
        </w:rPr>
        <w:t>:</w:t>
      </w:r>
      <w:proofErr w:type="gramEnd"/>
      <w:r w:rsidRPr="00BB213F">
        <w:rPr>
          <w:rFonts w:ascii="Arial" w:eastAsia="Times New Roman" w:hAnsi="Arial" w:cs="Arial"/>
          <w:snapToGrid w:val="0"/>
          <w:sz w:val="20"/>
          <w:lang w:bidi="ar-SA"/>
        </w:rPr>
        <w:t xml:space="preserve"> 2022 ‘Rules for rounding off numerical values (</w:t>
      </w:r>
      <w:r w:rsidRPr="00BB213F">
        <w:rPr>
          <w:rFonts w:ascii="Arial" w:eastAsia="Times New Roman" w:hAnsi="Arial" w:cs="Arial"/>
          <w:i/>
          <w:iCs/>
          <w:snapToGrid w:val="0"/>
          <w:sz w:val="20"/>
          <w:lang w:bidi="ar-SA"/>
        </w:rPr>
        <w:t>second</w:t>
      </w:r>
      <w:r w:rsidRPr="00BB213F">
        <w:rPr>
          <w:rFonts w:ascii="Arial" w:eastAsia="Times New Roman" w:hAnsi="Arial" w:cs="Arial"/>
          <w:snapToGrid w:val="0"/>
          <w:sz w:val="20"/>
          <w:lang w:bidi="ar-SA"/>
        </w:rPr>
        <w:t xml:space="preserve"> </w:t>
      </w:r>
      <w:r w:rsidRPr="00BB213F">
        <w:rPr>
          <w:rFonts w:ascii="Arial" w:eastAsia="Times New Roman" w:hAnsi="Arial" w:cs="Arial"/>
          <w:i/>
          <w:snapToGrid w:val="0"/>
          <w:sz w:val="20"/>
          <w:lang w:bidi="ar-SA"/>
        </w:rPr>
        <w:t>revision</w:t>
      </w:r>
      <w:r w:rsidRPr="00BB213F">
        <w:rPr>
          <w:rFonts w:ascii="Arial" w:eastAsia="Times New Roman" w:hAnsi="Arial" w:cs="Arial"/>
          <w:snapToGrid w:val="0"/>
          <w:sz w:val="20"/>
          <w:lang w:bidi="ar-SA"/>
        </w:rPr>
        <w:t>)’.</w:t>
      </w:r>
    </w:p>
    <w:p w14:paraId="35FE2521" w14:textId="77777777" w:rsidR="007863BA" w:rsidRPr="00BB213F" w:rsidRDefault="007863BA" w:rsidP="00B839D1">
      <w:pPr>
        <w:widowControl w:val="0"/>
        <w:spacing w:after="0" w:line="240" w:lineRule="auto"/>
        <w:jc w:val="both"/>
        <w:rPr>
          <w:rFonts w:ascii="Times New Roman" w:eastAsia="Times New Roman" w:hAnsi="Times New Roman" w:cs="Times New Roman"/>
          <w:snapToGrid w:val="0"/>
          <w:sz w:val="20"/>
          <w:lang w:bidi="ar-SA"/>
        </w:rPr>
      </w:pPr>
    </w:p>
    <w:p w14:paraId="71E3430B" w14:textId="77777777" w:rsidR="007863BA" w:rsidRPr="00BB213F" w:rsidRDefault="007863BA" w:rsidP="00B839D1">
      <w:pPr>
        <w:widowControl w:val="0"/>
        <w:spacing w:after="0" w:line="240" w:lineRule="auto"/>
        <w:jc w:val="both"/>
        <w:rPr>
          <w:rFonts w:ascii="Times New Roman" w:eastAsia="Times New Roman" w:hAnsi="Times New Roman" w:cs="Times New Roman"/>
          <w:snapToGrid w:val="0"/>
          <w:sz w:val="20"/>
          <w:lang w:bidi="ar-SA"/>
        </w:rPr>
      </w:pPr>
    </w:p>
    <w:p w14:paraId="368FF7F4" w14:textId="77777777" w:rsidR="007863BA" w:rsidRPr="00BB213F" w:rsidRDefault="007863BA" w:rsidP="00B839D1">
      <w:pPr>
        <w:rPr>
          <w:rFonts w:ascii="Times New Roman" w:hAnsi="Times New Roman" w:cs="Times New Roman"/>
        </w:rPr>
      </w:pPr>
    </w:p>
    <w:p w14:paraId="4C282854" w14:textId="77777777" w:rsidR="007863BA" w:rsidRPr="00BB213F" w:rsidRDefault="007863BA" w:rsidP="00B839D1">
      <w:pPr>
        <w:rPr>
          <w:rFonts w:ascii="Times New Roman" w:hAnsi="Times New Roman" w:cs="Times New Roman"/>
        </w:rPr>
      </w:pPr>
    </w:p>
    <w:p w14:paraId="3B9FEC71" w14:textId="77777777" w:rsidR="007863BA" w:rsidRPr="00BB213F" w:rsidRDefault="007863BA" w:rsidP="00B839D1">
      <w:pPr>
        <w:rPr>
          <w:rFonts w:ascii="Times New Roman" w:hAnsi="Times New Roman" w:cs="Times New Roman"/>
        </w:rPr>
      </w:pPr>
    </w:p>
    <w:p w14:paraId="013E814C" w14:textId="77777777" w:rsidR="009E7291" w:rsidRPr="00BB213F" w:rsidRDefault="009E7291" w:rsidP="00B839D1">
      <w:pPr>
        <w:rPr>
          <w:rFonts w:ascii="Times New Roman" w:hAnsi="Times New Roman" w:cs="Times New Roman"/>
        </w:rPr>
      </w:pPr>
    </w:p>
    <w:sectPr w:rsidR="009E7291" w:rsidRPr="00BB213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1562" w14:textId="77777777" w:rsidR="00310AD6" w:rsidRDefault="00310AD6" w:rsidP="00282414">
      <w:pPr>
        <w:spacing w:after="0" w:line="240" w:lineRule="auto"/>
      </w:pPr>
      <w:r>
        <w:separator/>
      </w:r>
    </w:p>
  </w:endnote>
  <w:endnote w:type="continuationSeparator" w:id="0">
    <w:p w14:paraId="4EA8D525" w14:textId="77777777" w:rsidR="00310AD6" w:rsidRDefault="00310AD6" w:rsidP="0028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477B" w14:textId="77777777" w:rsidR="00310AD6" w:rsidRDefault="00310AD6" w:rsidP="00282414">
      <w:pPr>
        <w:spacing w:after="0" w:line="240" w:lineRule="auto"/>
      </w:pPr>
      <w:r>
        <w:separator/>
      </w:r>
    </w:p>
  </w:footnote>
  <w:footnote w:type="continuationSeparator" w:id="0">
    <w:p w14:paraId="64200987" w14:textId="77777777" w:rsidR="00310AD6" w:rsidRDefault="00310AD6" w:rsidP="0028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D3D1" w14:textId="7C508F14" w:rsidR="009E7291" w:rsidRDefault="009E7291" w:rsidP="00BB2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69"/>
    <w:rsid w:val="0005293D"/>
    <w:rsid w:val="00081D36"/>
    <w:rsid w:val="00096F33"/>
    <w:rsid w:val="000F0A86"/>
    <w:rsid w:val="000F543C"/>
    <w:rsid w:val="00136635"/>
    <w:rsid w:val="0018213A"/>
    <w:rsid w:val="001858D6"/>
    <w:rsid w:val="001930F6"/>
    <w:rsid w:val="001A1ECC"/>
    <w:rsid w:val="001E0F13"/>
    <w:rsid w:val="001E56FB"/>
    <w:rsid w:val="001F25A9"/>
    <w:rsid w:val="00213488"/>
    <w:rsid w:val="002448F6"/>
    <w:rsid w:val="0028227C"/>
    <w:rsid w:val="00282414"/>
    <w:rsid w:val="002A7B2D"/>
    <w:rsid w:val="002C275C"/>
    <w:rsid w:val="002E7D22"/>
    <w:rsid w:val="002F3DCD"/>
    <w:rsid w:val="00310AD6"/>
    <w:rsid w:val="003339D2"/>
    <w:rsid w:val="003D69B7"/>
    <w:rsid w:val="003F11A3"/>
    <w:rsid w:val="00401CE3"/>
    <w:rsid w:val="00410B2F"/>
    <w:rsid w:val="00437E3D"/>
    <w:rsid w:val="004C674F"/>
    <w:rsid w:val="004E1D9A"/>
    <w:rsid w:val="0050286C"/>
    <w:rsid w:val="005148E1"/>
    <w:rsid w:val="00541CA1"/>
    <w:rsid w:val="00544DB8"/>
    <w:rsid w:val="005670B7"/>
    <w:rsid w:val="005805E5"/>
    <w:rsid w:val="005A426E"/>
    <w:rsid w:val="005F662F"/>
    <w:rsid w:val="00607FFB"/>
    <w:rsid w:val="00616F04"/>
    <w:rsid w:val="006420DA"/>
    <w:rsid w:val="006816DD"/>
    <w:rsid w:val="00684B63"/>
    <w:rsid w:val="006C36A7"/>
    <w:rsid w:val="006F5C2B"/>
    <w:rsid w:val="0070740A"/>
    <w:rsid w:val="0077671F"/>
    <w:rsid w:val="007863BA"/>
    <w:rsid w:val="007A5D0E"/>
    <w:rsid w:val="007C5E9C"/>
    <w:rsid w:val="007E3960"/>
    <w:rsid w:val="00812BAA"/>
    <w:rsid w:val="00815BD3"/>
    <w:rsid w:val="00824A2D"/>
    <w:rsid w:val="00841FC2"/>
    <w:rsid w:val="00876F87"/>
    <w:rsid w:val="00887B44"/>
    <w:rsid w:val="008956BB"/>
    <w:rsid w:val="008A69E6"/>
    <w:rsid w:val="008C6C29"/>
    <w:rsid w:val="008D55B5"/>
    <w:rsid w:val="00915797"/>
    <w:rsid w:val="00952F3F"/>
    <w:rsid w:val="009B515A"/>
    <w:rsid w:val="009E0FC0"/>
    <w:rsid w:val="009E3BF7"/>
    <w:rsid w:val="009E7291"/>
    <w:rsid w:val="009F43EF"/>
    <w:rsid w:val="009F58B4"/>
    <w:rsid w:val="00A302DD"/>
    <w:rsid w:val="00A302FF"/>
    <w:rsid w:val="00A4180F"/>
    <w:rsid w:val="00A75158"/>
    <w:rsid w:val="00A84D1C"/>
    <w:rsid w:val="00A87D1F"/>
    <w:rsid w:val="00AB4EB0"/>
    <w:rsid w:val="00AE6994"/>
    <w:rsid w:val="00AE6D69"/>
    <w:rsid w:val="00B4473F"/>
    <w:rsid w:val="00B52AED"/>
    <w:rsid w:val="00B65AE4"/>
    <w:rsid w:val="00B839D1"/>
    <w:rsid w:val="00B83CCC"/>
    <w:rsid w:val="00BB213F"/>
    <w:rsid w:val="00BF7C13"/>
    <w:rsid w:val="00C07D38"/>
    <w:rsid w:val="00C337AD"/>
    <w:rsid w:val="00C5103F"/>
    <w:rsid w:val="00C76A1F"/>
    <w:rsid w:val="00CB61D6"/>
    <w:rsid w:val="00D175EE"/>
    <w:rsid w:val="00D51012"/>
    <w:rsid w:val="00D757DC"/>
    <w:rsid w:val="00DC5C45"/>
    <w:rsid w:val="00DC659C"/>
    <w:rsid w:val="00E06034"/>
    <w:rsid w:val="00E063FA"/>
    <w:rsid w:val="00E5662D"/>
    <w:rsid w:val="00E73B75"/>
    <w:rsid w:val="00E80CF9"/>
    <w:rsid w:val="00EA2E1E"/>
    <w:rsid w:val="00EB06AE"/>
    <w:rsid w:val="00F46725"/>
    <w:rsid w:val="00F5096C"/>
    <w:rsid w:val="00F51408"/>
    <w:rsid w:val="00FB0B29"/>
    <w:rsid w:val="00FC1B5A"/>
    <w:rsid w:val="00FC3626"/>
    <w:rsid w:val="00FC7A09"/>
    <w:rsid w:val="00FE1A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E5DB4F"/>
  <w15:chartTrackingRefBased/>
  <w15:docId w15:val="{E0A1A8D9-E709-4828-9ACC-03BB4005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414"/>
  </w:style>
  <w:style w:type="table" w:styleId="TableGrid">
    <w:name w:val="Table Grid"/>
    <w:basedOn w:val="TableNormal"/>
    <w:uiPriority w:val="39"/>
    <w:rsid w:val="0028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414"/>
  </w:style>
  <w:style w:type="character" w:styleId="Hyperlink">
    <w:name w:val="Hyperlink"/>
    <w:basedOn w:val="DefaultParagraphFont"/>
    <w:uiPriority w:val="99"/>
    <w:semiHidden/>
    <w:unhideWhenUsed/>
    <w:rsid w:val="00081D36"/>
    <w:rPr>
      <w:color w:val="0000FF"/>
      <w:u w:val="single"/>
    </w:rPr>
  </w:style>
  <w:style w:type="character" w:customStyle="1" w:styleId="PlainTextChar">
    <w:name w:val="Plain Text Char"/>
    <w:aliases w:val="Char Char"/>
    <w:basedOn w:val="DefaultParagraphFont"/>
    <w:link w:val="PlainText"/>
    <w:locked/>
    <w:rsid w:val="00136635"/>
    <w:rPr>
      <w:rFonts w:ascii="Courier New" w:eastAsia="Times New Roman" w:hAnsi="Courier New" w:cs="Times New Roman"/>
      <w:sz w:val="20"/>
    </w:rPr>
  </w:style>
  <w:style w:type="paragraph" w:styleId="PlainText">
    <w:name w:val="Plain Text"/>
    <w:aliases w:val="Char"/>
    <w:basedOn w:val="Normal"/>
    <w:link w:val="PlainTextChar"/>
    <w:unhideWhenUsed/>
    <w:rsid w:val="00136635"/>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136635"/>
    <w:rPr>
      <w:rFonts w:ascii="Consolas" w:hAnsi="Consolas"/>
      <w:sz w:val="21"/>
      <w:szCs w:val="19"/>
    </w:rPr>
  </w:style>
  <w:style w:type="paragraph" w:styleId="BalloonText">
    <w:name w:val="Balloon Text"/>
    <w:basedOn w:val="Normal"/>
    <w:link w:val="BalloonTextChar"/>
    <w:uiPriority w:val="99"/>
    <w:semiHidden/>
    <w:unhideWhenUsed/>
    <w:rsid w:val="0013663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36635"/>
    <w:rPr>
      <w:rFonts w:ascii="Segoe UI" w:hAnsi="Segoe UI" w:cs="Mangal"/>
      <w:sz w:val="18"/>
      <w:szCs w:val="16"/>
    </w:rPr>
  </w:style>
  <w:style w:type="paragraph" w:styleId="Revision">
    <w:name w:val="Revision"/>
    <w:hidden/>
    <w:uiPriority w:val="99"/>
    <w:semiHidden/>
    <w:rsid w:val="00544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18898">
      <w:bodyDiv w:val="1"/>
      <w:marLeft w:val="0"/>
      <w:marRight w:val="0"/>
      <w:marTop w:val="0"/>
      <w:marBottom w:val="0"/>
      <w:divBdr>
        <w:top w:val="none" w:sz="0" w:space="0" w:color="auto"/>
        <w:left w:val="none" w:sz="0" w:space="0" w:color="auto"/>
        <w:bottom w:val="none" w:sz="0" w:space="0" w:color="auto"/>
        <w:right w:val="none" w:sz="0" w:space="0" w:color="auto"/>
      </w:divBdr>
    </w:div>
    <w:div w:id="563103579">
      <w:bodyDiv w:val="1"/>
      <w:marLeft w:val="0"/>
      <w:marRight w:val="0"/>
      <w:marTop w:val="0"/>
      <w:marBottom w:val="0"/>
      <w:divBdr>
        <w:top w:val="none" w:sz="0" w:space="0" w:color="auto"/>
        <w:left w:val="none" w:sz="0" w:space="0" w:color="auto"/>
        <w:bottom w:val="none" w:sz="0" w:space="0" w:color="auto"/>
        <w:right w:val="none" w:sz="0" w:space="0" w:color="auto"/>
      </w:divBdr>
    </w:div>
    <w:div w:id="836724309">
      <w:bodyDiv w:val="1"/>
      <w:marLeft w:val="0"/>
      <w:marRight w:val="0"/>
      <w:marTop w:val="0"/>
      <w:marBottom w:val="0"/>
      <w:divBdr>
        <w:top w:val="none" w:sz="0" w:space="0" w:color="auto"/>
        <w:left w:val="none" w:sz="0" w:space="0" w:color="auto"/>
        <w:bottom w:val="none" w:sz="0" w:space="0" w:color="auto"/>
        <w:right w:val="none" w:sz="0" w:space="0" w:color="auto"/>
      </w:divBdr>
      <w:divsChild>
        <w:div w:id="1204976977">
          <w:marLeft w:val="0"/>
          <w:marRight w:val="0"/>
          <w:marTop w:val="0"/>
          <w:marBottom w:val="0"/>
          <w:divBdr>
            <w:top w:val="none" w:sz="0" w:space="0" w:color="auto"/>
            <w:left w:val="none" w:sz="0" w:space="0" w:color="auto"/>
            <w:bottom w:val="none" w:sz="0" w:space="0" w:color="auto"/>
            <w:right w:val="none" w:sz="0" w:space="0" w:color="auto"/>
          </w:divBdr>
          <w:divsChild>
            <w:div w:id="269899100">
              <w:marLeft w:val="0"/>
              <w:marRight w:val="0"/>
              <w:marTop w:val="0"/>
              <w:marBottom w:val="0"/>
              <w:divBdr>
                <w:top w:val="none" w:sz="0" w:space="0" w:color="auto"/>
                <w:left w:val="none" w:sz="0" w:space="0" w:color="auto"/>
                <w:bottom w:val="none" w:sz="0" w:space="0" w:color="auto"/>
                <w:right w:val="none" w:sz="0" w:space="0" w:color="auto"/>
              </w:divBdr>
              <w:divsChild>
                <w:div w:id="760444426">
                  <w:marLeft w:val="0"/>
                  <w:marRight w:val="0"/>
                  <w:marTop w:val="0"/>
                  <w:marBottom w:val="0"/>
                  <w:divBdr>
                    <w:top w:val="none" w:sz="0" w:space="0" w:color="auto"/>
                    <w:left w:val="none" w:sz="0" w:space="0" w:color="auto"/>
                    <w:bottom w:val="none" w:sz="0" w:space="0" w:color="auto"/>
                    <w:right w:val="none" w:sz="0" w:space="0" w:color="auto"/>
                  </w:divBdr>
                  <w:divsChild>
                    <w:div w:id="15678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hyperlink" Target="https://www.iso.org/obp/ui/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www.iso.org/obp/ui/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so.org/obp/ui/en/" TargetMode="External"/><Relationship Id="rId5" Type="http://schemas.openxmlformats.org/officeDocument/2006/relationships/endnotes" Target="endnotes.xml"/><Relationship Id="rId15" Type="http://schemas.openxmlformats.org/officeDocument/2006/relationships/hyperlink" Target="https://www.iso.org/obp/ui/en/" TargetMode="External"/><Relationship Id="rId10" Type="http://schemas.openxmlformats.org/officeDocument/2006/relationships/hyperlink" Target="https://www.iso.org/obp/ui/en/" TargetMode="External"/><Relationship Id="rId4" Type="http://schemas.openxmlformats.org/officeDocument/2006/relationships/footnotes" Target="footnotes.xml"/><Relationship Id="rId9" Type="http://schemas.openxmlformats.org/officeDocument/2006/relationships/hyperlink" Target="http://www.standardsbis.in" TargetMode="External"/><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Aditi Choudhary</cp:lastModifiedBy>
  <cp:revision>66</cp:revision>
  <cp:lastPrinted>2024-04-09T11:15:00Z</cp:lastPrinted>
  <dcterms:created xsi:type="dcterms:W3CDTF">2024-02-16T05:57:00Z</dcterms:created>
  <dcterms:modified xsi:type="dcterms:W3CDTF">2024-12-12T03:58:00Z</dcterms:modified>
</cp:coreProperties>
</file>