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E0F0" w14:textId="30E95E83" w:rsidR="00317C7B" w:rsidRPr="00824C10" w:rsidRDefault="00317C7B" w:rsidP="00317C7B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C10">
        <w:rPr>
          <w:rFonts w:ascii="Times New Roman" w:hAnsi="Times New Roman" w:cs="Times New Roman"/>
          <w:b/>
          <w:bCs/>
          <w:sz w:val="24"/>
          <w:szCs w:val="24"/>
        </w:rPr>
        <w:t xml:space="preserve">IS 18651 (Part </w:t>
      </w:r>
      <w:r w:rsidR="00F370DB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824C10">
        <w:rPr>
          <w:rFonts w:ascii="Times New Roman" w:hAnsi="Times New Roman" w:cs="Times New Roman"/>
          <w:b/>
          <w:bCs/>
          <w:sz w:val="24"/>
          <w:szCs w:val="24"/>
        </w:rPr>
        <w:t>): 2024</w:t>
      </w:r>
    </w:p>
    <w:p w14:paraId="1C9929D6" w14:textId="74EC3BBF" w:rsidR="00317C7B" w:rsidRPr="00824C10" w:rsidRDefault="00317C7B" w:rsidP="00317C7B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C10">
        <w:rPr>
          <w:rFonts w:ascii="Times New Roman" w:hAnsi="Times New Roman" w:cs="Times New Roman"/>
          <w:b/>
          <w:bCs/>
          <w:sz w:val="24"/>
          <w:szCs w:val="24"/>
        </w:rPr>
        <w:t>ISO 7176-</w:t>
      </w:r>
      <w:r w:rsidR="00F370DB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824C1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70DB">
        <w:rPr>
          <w:rFonts w:ascii="Times New Roman" w:hAnsi="Times New Roman" w:cs="Times New Roman"/>
          <w:b/>
          <w:bCs/>
          <w:sz w:val="24"/>
          <w:szCs w:val="24"/>
        </w:rPr>
        <w:t>2012</w:t>
      </w:r>
    </w:p>
    <w:p w14:paraId="3AE6B7A1" w14:textId="77777777" w:rsidR="00317C7B" w:rsidRDefault="00317C7B" w:rsidP="00317C7B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1F80DE" w14:textId="77777777" w:rsidR="00317C7B" w:rsidRDefault="00317C7B" w:rsidP="00317C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9F9546" w14:textId="77777777" w:rsidR="00317C7B" w:rsidRDefault="00317C7B" w:rsidP="00317C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2E62FD" w14:textId="77777777" w:rsidR="00317C7B" w:rsidRPr="00341BCE" w:rsidRDefault="00317C7B" w:rsidP="00317C7B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41BCE">
        <w:rPr>
          <w:rFonts w:ascii="Nirmala UI" w:hAnsi="Nirmala UI" w:cs="Nirmala UI"/>
          <w:bCs/>
          <w:i/>
          <w:iCs/>
          <w:sz w:val="24"/>
          <w:szCs w:val="24"/>
        </w:rPr>
        <w:t>भारतीय</w:t>
      </w:r>
      <w:r w:rsidRPr="00341B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41BCE">
        <w:rPr>
          <w:rFonts w:ascii="Nirmala UI" w:hAnsi="Nirmala UI" w:cs="Nirmala UI"/>
          <w:bCs/>
          <w:i/>
          <w:iCs/>
          <w:sz w:val="24"/>
          <w:szCs w:val="24"/>
        </w:rPr>
        <w:t>मानक</w:t>
      </w:r>
    </w:p>
    <w:p w14:paraId="4A986577" w14:textId="77777777" w:rsidR="00317C7B" w:rsidRDefault="00317C7B" w:rsidP="00317C7B">
      <w:pPr>
        <w:spacing w:after="0" w:line="240" w:lineRule="auto"/>
        <w:jc w:val="center"/>
        <w:rPr>
          <w:rFonts w:ascii="Nirmala UI" w:hAnsi="Nirmala UI" w:cs="Nirmala UI"/>
          <w:b/>
          <w:bCs/>
          <w:sz w:val="32"/>
          <w:szCs w:val="28"/>
        </w:rPr>
      </w:pPr>
      <w:r w:rsidRPr="002279E4">
        <w:rPr>
          <w:rFonts w:ascii="Nirmala UI" w:hAnsi="Nirmala UI" w:cs="Nirmala UI" w:hint="cs"/>
          <w:b/>
          <w:bCs/>
          <w:sz w:val="32"/>
          <w:szCs w:val="28"/>
        </w:rPr>
        <w:t>व्हीलचेयर</w:t>
      </w:r>
      <w:r w:rsidRPr="002279E4">
        <w:rPr>
          <w:rFonts w:ascii="Nirmala UI" w:hAnsi="Nirmala UI" w:cs="Nirmala UI"/>
          <w:b/>
          <w:bCs/>
          <w:sz w:val="32"/>
          <w:szCs w:val="28"/>
        </w:rPr>
        <w:t xml:space="preserve"> </w:t>
      </w:r>
    </w:p>
    <w:p w14:paraId="7868AC95" w14:textId="527284B6" w:rsidR="00F370DB" w:rsidRPr="002279E4" w:rsidRDefault="00F370DB" w:rsidP="00F370D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Cs w:val="24"/>
        </w:rPr>
      </w:pPr>
      <w:r w:rsidRPr="002B511F">
        <w:rPr>
          <w:rFonts w:ascii="Nirmala UI" w:hAnsi="Nirmala UI" w:cs="Nirmala UI" w:hint="cs"/>
          <w:b/>
          <w:bCs/>
          <w:sz w:val="28"/>
          <w:szCs w:val="28"/>
        </w:rPr>
        <w:t>भाग</w:t>
      </w:r>
      <w:r w:rsidRPr="002B511F">
        <w:rPr>
          <w:rFonts w:ascii="Nirmala UI" w:hAnsi="Nirmala UI" w:cs="Nirmala UI"/>
          <w:b/>
          <w:bCs/>
          <w:sz w:val="28"/>
          <w:szCs w:val="28"/>
        </w:rPr>
        <w:t xml:space="preserve"> 28 </w:t>
      </w:r>
      <w:r w:rsidRPr="002B511F">
        <w:rPr>
          <w:rFonts w:ascii="Nirmala UI" w:hAnsi="Nirmala UI" w:cs="Nirmala UI" w:hint="cs"/>
          <w:b/>
          <w:bCs/>
          <w:sz w:val="28"/>
          <w:szCs w:val="28"/>
        </w:rPr>
        <w:t>सीढ़ी</w:t>
      </w:r>
      <w:r w:rsidRPr="002B511F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2B511F">
        <w:rPr>
          <w:rFonts w:ascii="Nirmala UI" w:hAnsi="Nirmala UI" w:cs="Nirmala UI" w:hint="cs"/>
          <w:b/>
          <w:bCs/>
          <w:sz w:val="28"/>
          <w:szCs w:val="28"/>
        </w:rPr>
        <w:t>चढ़ने</w:t>
      </w:r>
      <w:r w:rsidRPr="002B511F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2B511F">
        <w:rPr>
          <w:rFonts w:ascii="Nirmala UI" w:hAnsi="Nirmala UI" w:cs="Nirmala UI" w:hint="cs"/>
          <w:b/>
          <w:bCs/>
          <w:sz w:val="28"/>
          <w:szCs w:val="28"/>
        </w:rPr>
        <w:t>वाले</w:t>
      </w:r>
      <w:r w:rsidRPr="002B511F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2B511F">
        <w:rPr>
          <w:rFonts w:ascii="Nirmala UI" w:hAnsi="Nirmala UI" w:cs="Nirmala UI" w:hint="cs"/>
          <w:b/>
          <w:bCs/>
          <w:sz w:val="28"/>
          <w:szCs w:val="28"/>
        </w:rPr>
        <w:t>उपकरणों</w:t>
      </w:r>
      <w:r w:rsidRPr="002B511F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2B511F">
        <w:rPr>
          <w:rFonts w:ascii="Nirmala UI" w:hAnsi="Nirmala UI" w:cs="Nirmala UI" w:hint="cs"/>
          <w:b/>
          <w:bCs/>
          <w:sz w:val="28"/>
          <w:szCs w:val="28"/>
        </w:rPr>
        <w:t>के</w:t>
      </w:r>
      <w:r w:rsidRPr="002B511F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Pr="002B511F">
        <w:rPr>
          <w:rFonts w:ascii="Nirmala UI" w:hAnsi="Nirmala UI" w:cs="Nirmala UI" w:hint="cs"/>
          <w:b/>
          <w:bCs/>
          <w:sz w:val="28"/>
          <w:szCs w:val="28"/>
        </w:rPr>
        <w:t>लिए</w:t>
      </w:r>
      <w:r w:rsidRPr="002B511F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="00377806" w:rsidRPr="00377806">
        <w:rPr>
          <w:rFonts w:ascii="Nirmala UI" w:hAnsi="Nirmala UI" w:cs="Nirmala UI"/>
          <w:b/>
          <w:bCs/>
          <w:sz w:val="28"/>
          <w:szCs w:val="28"/>
        </w:rPr>
        <w:t>अपेक्षाएँ और परीक्षण पद्धतियाँ</w:t>
      </w:r>
    </w:p>
    <w:p w14:paraId="7547431A" w14:textId="77777777" w:rsidR="00317C7B" w:rsidRDefault="00317C7B" w:rsidP="00317C7B">
      <w:pPr>
        <w:spacing w:after="0" w:line="24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49E62904" w14:textId="77777777" w:rsidR="00317C7B" w:rsidRDefault="00317C7B" w:rsidP="00317C7B">
      <w:pPr>
        <w:spacing w:after="0" w:line="24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1DC05FF0" w14:textId="77777777" w:rsidR="00317C7B" w:rsidRDefault="00317C7B" w:rsidP="00317C7B">
      <w:pPr>
        <w:spacing w:after="0" w:line="24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782D39B9" w14:textId="77777777" w:rsidR="00317C7B" w:rsidRDefault="00317C7B" w:rsidP="00317C7B">
      <w:pPr>
        <w:spacing w:after="0" w:line="24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7A0C6F9B" w14:textId="77777777" w:rsidR="00317C7B" w:rsidRDefault="00317C7B" w:rsidP="00317C7B">
      <w:pPr>
        <w:spacing w:after="0" w:line="24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4A2281D2" w14:textId="77777777" w:rsidR="00317C7B" w:rsidRDefault="00317C7B" w:rsidP="00317C7B">
      <w:pPr>
        <w:spacing w:after="0" w:line="24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28DB4083" w14:textId="77777777" w:rsidR="00317C7B" w:rsidRDefault="00317C7B" w:rsidP="00317C7B">
      <w:pPr>
        <w:spacing w:after="0" w:line="24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7E46B8A7" w14:textId="77777777" w:rsidR="00317C7B" w:rsidRPr="00341BCE" w:rsidRDefault="00317C7B" w:rsidP="00317C7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41BCE">
        <w:rPr>
          <w:rFonts w:ascii="Times New Roman" w:hAnsi="Times New Roman" w:cs="Times New Roman"/>
          <w:bCs/>
          <w:i/>
          <w:iCs/>
          <w:sz w:val="24"/>
          <w:szCs w:val="24"/>
        </w:rPr>
        <w:t>Indian Standard</w:t>
      </w:r>
    </w:p>
    <w:p w14:paraId="7A26E16A" w14:textId="77777777" w:rsidR="00317C7B" w:rsidRDefault="00317C7B" w:rsidP="00317C7B">
      <w:pPr>
        <w:tabs>
          <w:tab w:val="left" w:pos="2150"/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7073383"/>
      <w:r w:rsidRPr="002279E4">
        <w:rPr>
          <w:rFonts w:ascii="Times New Roman" w:hAnsi="Times New Roman" w:cs="Times New Roman"/>
          <w:b/>
          <w:bCs/>
          <w:sz w:val="32"/>
          <w:szCs w:val="32"/>
        </w:rPr>
        <w:t>Wheelchairs</w:t>
      </w:r>
    </w:p>
    <w:p w14:paraId="62165930" w14:textId="77777777" w:rsidR="001D656B" w:rsidRPr="002279E4" w:rsidRDefault="001D656B" w:rsidP="001D656B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2B511F">
        <w:rPr>
          <w:rFonts w:ascii="Times New Roman" w:hAnsi="Times New Roman" w:cs="Times New Roman"/>
          <w:b/>
          <w:bCs/>
          <w:sz w:val="28"/>
          <w:szCs w:val="32"/>
        </w:rPr>
        <w:t>Part 28 Requirements and test methods for stair-climbing devices</w:t>
      </w:r>
    </w:p>
    <w:bookmarkEnd w:id="0"/>
    <w:p w14:paraId="39A21D31" w14:textId="77777777" w:rsidR="00317C7B" w:rsidRDefault="00317C7B" w:rsidP="00317C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6BE9D" w14:textId="77777777" w:rsidR="00317C7B" w:rsidRDefault="00317C7B" w:rsidP="00317C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B5066" w14:textId="77777777" w:rsidR="00317C7B" w:rsidRDefault="00317C7B" w:rsidP="00317C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817D8" w14:textId="77777777" w:rsidR="00317C7B" w:rsidRDefault="00317C7B" w:rsidP="00317C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79B8D" w14:textId="77777777" w:rsidR="00317C7B" w:rsidRPr="003A076A" w:rsidRDefault="00317C7B" w:rsidP="00317C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74125" w14:textId="77777777" w:rsidR="00317C7B" w:rsidRDefault="00317C7B" w:rsidP="00317C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1BCE">
        <w:rPr>
          <w:rFonts w:ascii="Times New Roman" w:hAnsi="Times New Roman" w:cs="Times New Roman"/>
          <w:b/>
          <w:bCs/>
          <w:sz w:val="24"/>
          <w:szCs w:val="24"/>
        </w:rPr>
        <w:t xml:space="preserve">ICS </w:t>
      </w:r>
      <w:r w:rsidRPr="00193F6F">
        <w:rPr>
          <w:rFonts w:ascii="Times New Roman" w:hAnsi="Times New Roman" w:cs="Times New Roman"/>
          <w:b/>
          <w:bCs/>
          <w:sz w:val="24"/>
          <w:szCs w:val="24"/>
        </w:rPr>
        <w:t>11.180.10</w:t>
      </w:r>
    </w:p>
    <w:p w14:paraId="0B8B08E1" w14:textId="77777777" w:rsidR="00317C7B" w:rsidRDefault="00317C7B" w:rsidP="00317C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E04A72" w14:textId="77777777" w:rsidR="00317C7B" w:rsidRDefault="00317C7B" w:rsidP="00317C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94E5C9" w14:textId="77777777" w:rsidR="00317C7B" w:rsidRDefault="00317C7B" w:rsidP="00317C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4018EE" w14:textId="77777777" w:rsidR="00317C7B" w:rsidRDefault="00317C7B" w:rsidP="00317C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090BD2" w14:textId="77777777" w:rsidR="00317C7B" w:rsidRDefault="00317C7B" w:rsidP="00317C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175B51" w14:textId="77777777" w:rsidR="00317C7B" w:rsidRDefault="00317C7B" w:rsidP="00317C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171F26" w14:textId="77777777" w:rsidR="00317C7B" w:rsidRDefault="00317C7B" w:rsidP="00317C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62E88B" w14:textId="77777777" w:rsidR="007E3835" w:rsidRDefault="007E3835" w:rsidP="00317C7B">
      <w:pPr>
        <w:tabs>
          <w:tab w:val="left" w:pos="6825"/>
        </w:tabs>
        <w:spacing w:before="240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/>
        </w:rPr>
      </w:pPr>
    </w:p>
    <w:p w14:paraId="151BFA2C" w14:textId="77777777" w:rsidR="007E3835" w:rsidRDefault="00317C7B" w:rsidP="00680DF3">
      <w:pPr>
        <w:tabs>
          <w:tab w:val="left" w:pos="682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/>
        </w:rPr>
        <w:lastRenderedPageBreak/>
        <w:t>Art</w:t>
      </w:r>
      <w:r w:rsidRPr="0060612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/>
        </w:rPr>
        <w:t>ificial Limbs, Rehabilitation Appliances and Equipment for the Persons with Disability Sectional Committee, MHD 09</w:t>
      </w:r>
    </w:p>
    <w:p w14:paraId="37FCDC9B" w14:textId="68EADC8D" w:rsidR="00680DF3" w:rsidRPr="00341BCE" w:rsidRDefault="00680DF3" w:rsidP="00680DF3">
      <w:pPr>
        <w:tabs>
          <w:tab w:val="left" w:pos="682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1BCE">
        <w:rPr>
          <w:rFonts w:ascii="Times New Roman" w:hAnsi="Times New Roman" w:cs="Times New Roman"/>
          <w:sz w:val="24"/>
          <w:szCs w:val="24"/>
        </w:rPr>
        <w:t>NATIONAL FOREWORD</w:t>
      </w:r>
    </w:p>
    <w:p w14:paraId="0771229F" w14:textId="645897B0" w:rsidR="007E3835" w:rsidRPr="00341BCE" w:rsidRDefault="007E3835" w:rsidP="007E3835">
      <w:pPr>
        <w:tabs>
          <w:tab w:val="left" w:pos="682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34CC2">
        <w:rPr>
          <w:rFonts w:ascii="Times New Roman" w:hAnsi="Times New Roman" w:cs="Times New Roman"/>
          <w:sz w:val="24"/>
          <w:szCs w:val="24"/>
        </w:rPr>
        <w:t xml:space="preserve">This Indian Standard (Part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34CC2">
        <w:rPr>
          <w:rFonts w:ascii="Times New Roman" w:hAnsi="Times New Roman" w:cs="Times New Roman"/>
          <w:sz w:val="24"/>
          <w:szCs w:val="24"/>
        </w:rPr>
        <w:t xml:space="preserve">) which is identical to ISO </w:t>
      </w:r>
      <w:r>
        <w:rPr>
          <w:rFonts w:ascii="Times New Roman" w:hAnsi="Times New Roman" w:cs="Times New Roman"/>
          <w:sz w:val="24"/>
          <w:szCs w:val="24"/>
        </w:rPr>
        <w:t>7176-28:2012</w:t>
      </w:r>
      <w:r w:rsidRPr="00C34CC2">
        <w:rPr>
          <w:rFonts w:ascii="Times New Roman" w:hAnsi="Times New Roman" w:cs="Times New Roman"/>
          <w:sz w:val="24"/>
          <w:szCs w:val="24"/>
        </w:rPr>
        <w:t xml:space="preserve">, ‘Wheelchairs Part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7E3835">
        <w:rPr>
          <w:rFonts w:ascii="Times New Roman" w:hAnsi="Times New Roman" w:cs="Times New Roman"/>
          <w:sz w:val="24"/>
          <w:szCs w:val="24"/>
        </w:rPr>
        <w:t>Wheelchairs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835">
        <w:rPr>
          <w:rFonts w:ascii="Times New Roman" w:hAnsi="Times New Roman" w:cs="Times New Roman"/>
          <w:sz w:val="24"/>
          <w:szCs w:val="24"/>
        </w:rPr>
        <w:t>Part 28 Requirements and test methods for stair-climbing devices</w:t>
      </w:r>
      <w:r w:rsidRPr="00C34CC2">
        <w:rPr>
          <w:rFonts w:ascii="Times New Roman" w:hAnsi="Times New Roman" w:cs="Times New Roman"/>
          <w:sz w:val="24"/>
          <w:szCs w:val="24"/>
        </w:rPr>
        <w:t>’ issued by the International Organization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CC2">
        <w:rPr>
          <w:rFonts w:ascii="Times New Roman" w:hAnsi="Times New Roman" w:cs="Times New Roman"/>
          <w:sz w:val="24"/>
          <w:szCs w:val="24"/>
        </w:rPr>
        <w:t>for Standardization (ISO), was adopted by the Bureau of Indian Standards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CC2">
        <w:rPr>
          <w:rFonts w:ascii="Times New Roman" w:hAnsi="Times New Roman" w:cs="Times New Roman"/>
          <w:sz w:val="24"/>
          <w:szCs w:val="24"/>
        </w:rPr>
        <w:t xml:space="preserve">recommendation of the </w:t>
      </w:r>
      <w:r w:rsidRPr="00BA3A83">
        <w:rPr>
          <w:rFonts w:ascii="Times New Roman" w:hAnsi="Times New Roman" w:cs="Times New Roman"/>
          <w:sz w:val="24"/>
          <w:szCs w:val="24"/>
        </w:rPr>
        <w:t xml:space="preserve">Artificial Limbs, Rehabilitation Appliances and Equipment for the Persons with Disability Sectional Committee </w:t>
      </w:r>
      <w:r w:rsidRPr="00C34CC2">
        <w:rPr>
          <w:rFonts w:ascii="Times New Roman" w:hAnsi="Times New Roman" w:cs="Times New Roman"/>
          <w:sz w:val="24"/>
          <w:szCs w:val="24"/>
        </w:rPr>
        <w:t>and approval of the Medical Equipment and Hospital Planning Division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CC2">
        <w:rPr>
          <w:rFonts w:ascii="Times New Roman" w:hAnsi="Times New Roman" w:cs="Times New Roman"/>
          <w:sz w:val="24"/>
          <w:szCs w:val="24"/>
        </w:rPr>
        <w:t>Council.</w:t>
      </w:r>
    </w:p>
    <w:p w14:paraId="37FCDC9D" w14:textId="77777777" w:rsidR="00680DF3" w:rsidRPr="00341BCE" w:rsidRDefault="00680DF3" w:rsidP="00680DF3">
      <w:pPr>
        <w:tabs>
          <w:tab w:val="left" w:pos="6825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41BCE">
        <w:rPr>
          <w:rFonts w:ascii="Times New Roman" w:hAnsi="Times New Roman" w:cs="Times New Roman"/>
          <w:sz w:val="24"/>
          <w:szCs w:val="24"/>
        </w:rPr>
        <w:t>The text of ISO Standard has been approved as suitable for publication as an Indian Standard</w:t>
      </w:r>
    </w:p>
    <w:p w14:paraId="37FCDC9E" w14:textId="77777777" w:rsidR="00680DF3" w:rsidRPr="00341BCE" w:rsidRDefault="001758B0" w:rsidP="00680DF3">
      <w:p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1BCE">
        <w:rPr>
          <w:rFonts w:ascii="Times New Roman" w:hAnsi="Times New Roman" w:cs="Times New Roman"/>
          <w:sz w:val="24"/>
          <w:szCs w:val="24"/>
        </w:rPr>
        <w:t>Without</w:t>
      </w:r>
      <w:r w:rsidR="00680DF3" w:rsidRPr="00341BCE">
        <w:rPr>
          <w:rFonts w:ascii="Times New Roman" w:hAnsi="Times New Roman" w:cs="Times New Roman"/>
          <w:sz w:val="24"/>
          <w:szCs w:val="24"/>
        </w:rPr>
        <w:t xml:space="preserve"> deviations. Certain conventions are however not identical to those used in Indian Standards. Attention is particularly drawn to the following:</w:t>
      </w:r>
    </w:p>
    <w:p w14:paraId="37FCDC9F" w14:textId="77777777" w:rsidR="00680DF3" w:rsidRPr="00341BCE" w:rsidRDefault="00680DF3" w:rsidP="00680DF3">
      <w:pPr>
        <w:pStyle w:val="ListParagraph"/>
        <w:numPr>
          <w:ilvl w:val="0"/>
          <w:numId w:val="1"/>
        </w:num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1BCE">
        <w:rPr>
          <w:rFonts w:ascii="Times New Roman" w:hAnsi="Times New Roman" w:cs="Times New Roman"/>
          <w:sz w:val="24"/>
          <w:szCs w:val="24"/>
        </w:rPr>
        <w:t>Wherever the words ‘International Standard’ appear referring to this standard, they should be read as ‘Indian Standard’</w:t>
      </w:r>
    </w:p>
    <w:p w14:paraId="37FCDCA0" w14:textId="77777777" w:rsidR="00680DF3" w:rsidRPr="00341BCE" w:rsidRDefault="00680DF3" w:rsidP="00680DF3">
      <w:pPr>
        <w:pStyle w:val="ListParagraph"/>
        <w:numPr>
          <w:ilvl w:val="0"/>
          <w:numId w:val="1"/>
        </w:num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BCE">
        <w:rPr>
          <w:rFonts w:ascii="Times New Roman" w:hAnsi="Times New Roman" w:cs="Times New Roman"/>
          <w:sz w:val="24"/>
          <w:szCs w:val="24"/>
        </w:rPr>
        <w:t>Comma (,) has been used as a decimal marker while in Indian Standards, the current practice is to use a point (.) as the decimal marker.</w:t>
      </w:r>
    </w:p>
    <w:p w14:paraId="37FCDCA1" w14:textId="77777777" w:rsidR="00680DF3" w:rsidRPr="00341BCE" w:rsidRDefault="00680DF3" w:rsidP="00680DF3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CDCA2" w14:textId="77777777" w:rsidR="00680DF3" w:rsidRPr="00341BCE" w:rsidRDefault="00680DF3" w:rsidP="00680DF3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BCE">
        <w:rPr>
          <w:rFonts w:ascii="Times New Roman" w:hAnsi="Times New Roman" w:cs="Times New Roman"/>
          <w:sz w:val="24"/>
          <w:szCs w:val="24"/>
        </w:rPr>
        <w:t>In this adopted standard, reference appears to certain International Standards for which Indian</w:t>
      </w:r>
    </w:p>
    <w:p w14:paraId="37FCDCA4" w14:textId="137BF270" w:rsidR="007513A7" w:rsidRPr="00341BCE" w:rsidRDefault="00680DF3" w:rsidP="0047297C">
      <w:p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1BCE">
        <w:rPr>
          <w:rFonts w:ascii="Times New Roman" w:hAnsi="Times New Roman" w:cs="Times New Roman"/>
          <w:sz w:val="24"/>
          <w:szCs w:val="24"/>
        </w:rPr>
        <w:t>Standards also exist. The corresponding Indian Standards which are to be substituted in their respective places are listed below along with their degree of equivalence for the editions indicated: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1650"/>
      </w:tblGrid>
      <w:tr w:rsidR="00680DF3" w:rsidRPr="00341BCE" w14:paraId="37FCDCA9" w14:textId="77777777" w:rsidTr="005D7B6B">
        <w:trPr>
          <w:trHeight w:val="709"/>
        </w:trPr>
        <w:tc>
          <w:tcPr>
            <w:tcW w:w="3539" w:type="dxa"/>
          </w:tcPr>
          <w:p w14:paraId="37FCDCA5" w14:textId="77777777" w:rsidR="00680DF3" w:rsidRPr="00341BCE" w:rsidRDefault="00680DF3" w:rsidP="00225819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International Standard</w:t>
            </w:r>
          </w:p>
        </w:tc>
        <w:tc>
          <w:tcPr>
            <w:tcW w:w="3827" w:type="dxa"/>
          </w:tcPr>
          <w:p w14:paraId="37FCDCA6" w14:textId="77777777" w:rsidR="00680DF3" w:rsidRPr="00341BCE" w:rsidRDefault="00217110" w:rsidP="00217110">
            <w:pPr>
              <w:tabs>
                <w:tab w:val="left" w:pos="682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680DF3" w:rsidRPr="003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Corresponding Indian Standard</w:t>
            </w:r>
          </w:p>
        </w:tc>
        <w:tc>
          <w:tcPr>
            <w:tcW w:w="1650" w:type="dxa"/>
          </w:tcPr>
          <w:p w14:paraId="37FCDCA7" w14:textId="77777777" w:rsidR="00680DF3" w:rsidRPr="00341BCE" w:rsidRDefault="00680DF3" w:rsidP="00225819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Degree of</w:t>
            </w:r>
          </w:p>
          <w:p w14:paraId="37FCDCA8" w14:textId="77777777" w:rsidR="00680DF3" w:rsidRPr="00341BCE" w:rsidRDefault="00680DF3" w:rsidP="00225819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1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Equivalence</w:t>
            </w:r>
          </w:p>
        </w:tc>
      </w:tr>
      <w:tr w:rsidR="001512F3" w:rsidRPr="00341BCE" w14:paraId="60F6C1CF" w14:textId="77777777" w:rsidTr="005D7B6B">
        <w:trPr>
          <w:trHeight w:val="944"/>
        </w:trPr>
        <w:tc>
          <w:tcPr>
            <w:tcW w:w="3539" w:type="dxa"/>
          </w:tcPr>
          <w:p w14:paraId="035658F8" w14:textId="500109AD" w:rsidR="001512F3" w:rsidRPr="000963A1" w:rsidRDefault="001512F3" w:rsidP="009258C2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7</w:t>
            </w:r>
            <w:r w:rsidR="0097338A">
              <w:rPr>
                <w:rFonts w:ascii="Times New Roman" w:hAnsi="Times New Roman" w:cs="Times New Roman"/>
                <w:sz w:val="24"/>
                <w:szCs w:val="24"/>
              </w:rPr>
              <w:t xml:space="preserve">176-l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Wheelchairs - Part 1</w:t>
            </w:r>
            <w:r w:rsidRPr="00137E98">
              <w:rPr>
                <w:rFonts w:ascii="Times New Roman" w:hAnsi="Times New Roman" w:cs="Times New Roman"/>
                <w:sz w:val="24"/>
                <w:szCs w:val="24"/>
              </w:rPr>
              <w:t>: Determination of static stability.</w:t>
            </w:r>
          </w:p>
        </w:tc>
        <w:tc>
          <w:tcPr>
            <w:tcW w:w="3827" w:type="dxa"/>
          </w:tcPr>
          <w:p w14:paraId="229FE262" w14:textId="2B27E818" w:rsidR="001512F3" w:rsidRPr="00BC5688" w:rsidRDefault="007F5DCD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IS 18651 (Part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):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</w:t>
            </w: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ISO 7176-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: 201</w:t>
            </w:r>
            <w:r w:rsidR="008030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1512F3" w:rsidRPr="00137E9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1 Determination of static stability</w:t>
            </w:r>
          </w:p>
        </w:tc>
        <w:tc>
          <w:tcPr>
            <w:tcW w:w="1650" w:type="dxa"/>
          </w:tcPr>
          <w:p w14:paraId="6ABC9D98" w14:textId="75DABD3C" w:rsidR="001512F3" w:rsidRDefault="001512F3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68C6DEA7" w14:textId="77777777" w:rsidTr="005D7B6B">
        <w:trPr>
          <w:trHeight w:val="1250"/>
        </w:trPr>
        <w:tc>
          <w:tcPr>
            <w:tcW w:w="3539" w:type="dxa"/>
          </w:tcPr>
          <w:p w14:paraId="13785CF3" w14:textId="2B9ACA17" w:rsidR="001512F3" w:rsidRPr="00BC5688" w:rsidRDefault="0097338A" w:rsidP="009258C2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BB2F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7176-2 </w:t>
            </w:r>
            <w:r w:rsidR="001512F3" w:rsidRPr="00137E98">
              <w:rPr>
                <w:rFonts w:ascii="Times New Roman" w:hAnsi="Times New Roman" w:cs="Times New Roman"/>
                <w:sz w:val="24"/>
                <w:szCs w:val="24"/>
              </w:rPr>
              <w:t>Wheelchairs - Part 2: Determination of dynamic stability of electric wheelchairs.</w:t>
            </w:r>
          </w:p>
        </w:tc>
        <w:tc>
          <w:tcPr>
            <w:tcW w:w="3827" w:type="dxa"/>
          </w:tcPr>
          <w:p w14:paraId="0B92815D" w14:textId="34FFBCE2" w:rsidR="001512F3" w:rsidRPr="00BC5688" w:rsidRDefault="00066DFA" w:rsidP="00066DFA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2)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</w:t>
            </w: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ISO 7176-2 : 2017 </w:t>
            </w:r>
            <w:r w:rsid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1512F3" w:rsidRPr="00137E9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2 Determination of dynamic stability of electrically powered wheelchairs</w:t>
            </w:r>
          </w:p>
        </w:tc>
        <w:tc>
          <w:tcPr>
            <w:tcW w:w="1650" w:type="dxa"/>
          </w:tcPr>
          <w:p w14:paraId="0E799146" w14:textId="639AA0B5" w:rsidR="001512F3" w:rsidRDefault="001512F3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4EC382C9" w14:textId="77777777" w:rsidTr="005D7B6B">
        <w:trPr>
          <w:trHeight w:val="944"/>
        </w:trPr>
        <w:tc>
          <w:tcPr>
            <w:tcW w:w="3539" w:type="dxa"/>
          </w:tcPr>
          <w:p w14:paraId="1360145B" w14:textId="14BC53AF" w:rsidR="001512F3" w:rsidRPr="00BC5688" w:rsidRDefault="009258C2" w:rsidP="009258C2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051B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7176-3</w:t>
            </w:r>
            <w:r w:rsidR="001512F3" w:rsidRPr="00137E98">
              <w:rPr>
                <w:rFonts w:ascii="Times New Roman" w:hAnsi="Times New Roman" w:cs="Times New Roman"/>
                <w:sz w:val="24"/>
                <w:szCs w:val="24"/>
              </w:rPr>
              <w:t xml:space="preserve"> Wheelchairs - Part 3: Determination of efficiency of brakes.</w:t>
            </w:r>
          </w:p>
        </w:tc>
        <w:tc>
          <w:tcPr>
            <w:tcW w:w="3827" w:type="dxa"/>
          </w:tcPr>
          <w:p w14:paraId="67F99AFB" w14:textId="682EB4FF" w:rsidR="001512F3" w:rsidRPr="00BC5688" w:rsidRDefault="00066DFA" w:rsidP="00066DFA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3)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/ISO 7176-3 : 2012</w:t>
            </w:r>
            <w:r w:rsid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1512F3" w:rsidRPr="00757DF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3 Determination of effectiveness of brakes</w:t>
            </w:r>
          </w:p>
        </w:tc>
        <w:tc>
          <w:tcPr>
            <w:tcW w:w="1650" w:type="dxa"/>
          </w:tcPr>
          <w:p w14:paraId="6DBB8AAA" w14:textId="3E141E8A" w:rsidR="001512F3" w:rsidRDefault="001512F3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083724BC" w14:textId="77777777" w:rsidTr="005D7B6B">
        <w:trPr>
          <w:trHeight w:val="1520"/>
        </w:trPr>
        <w:tc>
          <w:tcPr>
            <w:tcW w:w="3539" w:type="dxa"/>
          </w:tcPr>
          <w:p w14:paraId="6938B425" w14:textId="1F4C3C94" w:rsidR="001512F3" w:rsidRPr="006F285C" w:rsidRDefault="009258C2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051B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7176-4</w:t>
            </w:r>
            <w:r w:rsidR="001512F3" w:rsidRPr="00757DF9">
              <w:rPr>
                <w:rFonts w:ascii="Times New Roman" w:hAnsi="Times New Roman" w:cs="Times New Roman"/>
                <w:sz w:val="24"/>
                <w:szCs w:val="24"/>
              </w:rPr>
              <w:t xml:space="preserve"> Wheelchairs - Part 4: Determination of energy consumption of electric wheelchairs and</w:t>
            </w:r>
            <w:r w:rsidR="0015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2F3" w:rsidRPr="00757DF9">
              <w:rPr>
                <w:rFonts w:ascii="Times New Roman" w:hAnsi="Times New Roman" w:cs="Times New Roman"/>
                <w:sz w:val="24"/>
                <w:szCs w:val="24"/>
              </w:rPr>
              <w:t>scooters - Theoretical range.</w:t>
            </w:r>
          </w:p>
        </w:tc>
        <w:tc>
          <w:tcPr>
            <w:tcW w:w="3827" w:type="dxa"/>
          </w:tcPr>
          <w:p w14:paraId="3F63E05C" w14:textId="62E28CC0" w:rsidR="001512F3" w:rsidRPr="006F285C" w:rsidRDefault="00066DFA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highlight w:val="yellow"/>
              </w:rPr>
            </w:pP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4)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</w:t>
            </w: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ISO 7176-4 : 2008 </w:t>
            </w:r>
            <w:r w:rsid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1512F3" w:rsidRPr="00757DF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4 Energy consumption of electric wheelchairs and scooters for determination of theoretical distance range</w:t>
            </w:r>
          </w:p>
        </w:tc>
        <w:tc>
          <w:tcPr>
            <w:tcW w:w="1650" w:type="dxa"/>
          </w:tcPr>
          <w:p w14:paraId="75A2F8FE" w14:textId="24E4655B" w:rsidR="001512F3" w:rsidRPr="006F285C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63DFBF62" w14:textId="77777777" w:rsidTr="005D7B6B">
        <w:trPr>
          <w:trHeight w:val="1250"/>
        </w:trPr>
        <w:tc>
          <w:tcPr>
            <w:tcW w:w="3539" w:type="dxa"/>
          </w:tcPr>
          <w:p w14:paraId="71288E27" w14:textId="430CD82B" w:rsidR="001512F3" w:rsidRPr="006F285C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</w:t>
            </w:r>
            <w:r w:rsidR="00051B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57DF9">
              <w:rPr>
                <w:rFonts w:ascii="Times New Roman" w:hAnsi="Times New Roman" w:cs="Times New Roman"/>
                <w:sz w:val="24"/>
                <w:szCs w:val="24"/>
              </w:rPr>
              <w:t xml:space="preserve"> 7176-5 Wheelchairs - Part 5: Determination of overall dimensions, mass and turning space.</w:t>
            </w:r>
          </w:p>
        </w:tc>
        <w:tc>
          <w:tcPr>
            <w:tcW w:w="3827" w:type="dxa"/>
          </w:tcPr>
          <w:p w14:paraId="3BE25917" w14:textId="0377FC44" w:rsidR="001512F3" w:rsidRPr="006F285C" w:rsidRDefault="00066DFA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highlight w:val="yellow"/>
              </w:rPr>
            </w:pP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5):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</w:t>
            </w: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ISO 7176-5 : 2008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1512F3" w:rsidRPr="00757DF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5 Determination of dimensions mass and manoeuvring space</w:t>
            </w:r>
          </w:p>
        </w:tc>
        <w:tc>
          <w:tcPr>
            <w:tcW w:w="1650" w:type="dxa"/>
          </w:tcPr>
          <w:p w14:paraId="7580A8FC" w14:textId="69112A00" w:rsidR="001512F3" w:rsidRPr="006F285C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38D75EB0" w14:textId="77777777" w:rsidTr="005D7B6B">
        <w:trPr>
          <w:trHeight w:val="1250"/>
        </w:trPr>
        <w:tc>
          <w:tcPr>
            <w:tcW w:w="3539" w:type="dxa"/>
          </w:tcPr>
          <w:p w14:paraId="70E2D1D6" w14:textId="7D4DA74E" w:rsidR="001512F3" w:rsidRPr="00FB353C" w:rsidRDefault="0097338A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7</w:t>
            </w:r>
            <w:r w:rsidR="009258C2">
              <w:rPr>
                <w:rFonts w:ascii="Times New Roman" w:hAnsi="Times New Roman" w:cs="Times New Roman"/>
                <w:sz w:val="24"/>
                <w:szCs w:val="24"/>
              </w:rPr>
              <w:t xml:space="preserve">176-6 </w:t>
            </w:r>
            <w:r w:rsidR="001512F3">
              <w:rPr>
                <w:rFonts w:ascii="Times New Roman" w:hAnsi="Times New Roman" w:cs="Times New Roman"/>
                <w:sz w:val="24"/>
                <w:szCs w:val="24"/>
              </w:rPr>
              <w:t>Wheel</w:t>
            </w:r>
            <w:r w:rsidR="001512F3" w:rsidRPr="00757DF9">
              <w:rPr>
                <w:rFonts w:ascii="Times New Roman" w:hAnsi="Times New Roman" w:cs="Times New Roman"/>
                <w:sz w:val="24"/>
                <w:szCs w:val="24"/>
              </w:rPr>
              <w:t>chairs - Part 6: Determination of maximum speed, acceleration and retardation of electric</w:t>
            </w:r>
            <w:r w:rsidR="0015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2F3" w:rsidRPr="00757DF9">
              <w:rPr>
                <w:rFonts w:ascii="Times New Roman" w:hAnsi="Times New Roman" w:cs="Times New Roman"/>
                <w:sz w:val="24"/>
                <w:szCs w:val="24"/>
              </w:rPr>
              <w:t>wheelchairs.</w:t>
            </w:r>
          </w:p>
        </w:tc>
        <w:tc>
          <w:tcPr>
            <w:tcW w:w="3827" w:type="dxa"/>
          </w:tcPr>
          <w:p w14:paraId="4898FC3F" w14:textId="2D156311" w:rsidR="001512F3" w:rsidRPr="00FB353C" w:rsidRDefault="00066DFA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6)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/ISO 7176-6 : 2018 </w:t>
            </w:r>
            <w:r w:rsidR="001512F3" w:rsidRP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6 Determination of maximum speed of electrically powered wheelchairs</w:t>
            </w:r>
          </w:p>
        </w:tc>
        <w:tc>
          <w:tcPr>
            <w:tcW w:w="1650" w:type="dxa"/>
          </w:tcPr>
          <w:p w14:paraId="3011E051" w14:textId="528528F3" w:rsidR="001512F3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5C3B811E" w14:textId="77777777" w:rsidTr="005D7B6B">
        <w:trPr>
          <w:trHeight w:val="980"/>
        </w:trPr>
        <w:tc>
          <w:tcPr>
            <w:tcW w:w="3539" w:type="dxa"/>
          </w:tcPr>
          <w:p w14:paraId="71FCF9FE" w14:textId="351E4616" w:rsidR="001512F3" w:rsidRPr="00FB353C" w:rsidRDefault="009258C2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E40A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7176-7</w:t>
            </w:r>
            <w:r w:rsidR="001512F3" w:rsidRPr="00757DF9">
              <w:rPr>
                <w:rFonts w:ascii="Times New Roman" w:hAnsi="Times New Roman" w:cs="Times New Roman"/>
                <w:sz w:val="24"/>
                <w:szCs w:val="24"/>
              </w:rPr>
              <w:t xml:space="preserve"> Wheelchairs - Part 7: Method of measurement of seating and wheel dimensions.</w:t>
            </w:r>
          </w:p>
        </w:tc>
        <w:tc>
          <w:tcPr>
            <w:tcW w:w="3827" w:type="dxa"/>
          </w:tcPr>
          <w:p w14:paraId="110F73F2" w14:textId="7C15CB9B" w:rsidR="001512F3" w:rsidRPr="00FB353C" w:rsidRDefault="00066DFA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7)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</w:t>
            </w: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ISO 7176-7 : 1998 </w:t>
            </w:r>
            <w:r w:rsidR="001512F3" w:rsidRP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7: Measurement of seating and wheel dimensions</w:t>
            </w:r>
          </w:p>
        </w:tc>
        <w:tc>
          <w:tcPr>
            <w:tcW w:w="1650" w:type="dxa"/>
          </w:tcPr>
          <w:p w14:paraId="18DFC955" w14:textId="5980E225" w:rsidR="001512F3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1A2CF857" w14:textId="77777777" w:rsidTr="005D7B6B">
        <w:trPr>
          <w:trHeight w:val="1250"/>
        </w:trPr>
        <w:tc>
          <w:tcPr>
            <w:tcW w:w="3539" w:type="dxa"/>
          </w:tcPr>
          <w:p w14:paraId="6742FEE8" w14:textId="23C0AA60" w:rsidR="001512F3" w:rsidRPr="00FB353C" w:rsidRDefault="009258C2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E40A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7176-8</w:t>
            </w:r>
            <w:r w:rsidR="0015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2F3" w:rsidRPr="00757DF9">
              <w:rPr>
                <w:rFonts w:ascii="Times New Roman" w:hAnsi="Times New Roman" w:cs="Times New Roman"/>
                <w:sz w:val="24"/>
                <w:szCs w:val="24"/>
              </w:rPr>
              <w:t>Wheelchairs - Part 8: Requirements and test methods for static, impact and fatigue strengths.</w:t>
            </w:r>
          </w:p>
        </w:tc>
        <w:tc>
          <w:tcPr>
            <w:tcW w:w="3827" w:type="dxa"/>
          </w:tcPr>
          <w:p w14:paraId="103A00D2" w14:textId="2280AE61" w:rsidR="001512F3" w:rsidRPr="006F285C" w:rsidRDefault="00066DFA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66D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8) : 2024</w:t>
            </w:r>
            <w:r w:rsid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/ISO 7176-8 : 20</w:t>
            </w:r>
            <w:r w:rsidR="00E40AB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1512F3" w:rsidRP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8 Requirements and test methods for static impact and fatigue strengths</w:t>
            </w:r>
          </w:p>
        </w:tc>
        <w:tc>
          <w:tcPr>
            <w:tcW w:w="1650" w:type="dxa"/>
          </w:tcPr>
          <w:p w14:paraId="1C3E3967" w14:textId="4070868C" w:rsidR="001512F3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25AF07AB" w14:textId="77777777" w:rsidTr="005D7B6B">
        <w:trPr>
          <w:trHeight w:val="980"/>
        </w:trPr>
        <w:tc>
          <w:tcPr>
            <w:tcW w:w="3539" w:type="dxa"/>
          </w:tcPr>
          <w:p w14:paraId="4B5F0DD9" w14:textId="21C5A64C" w:rsidR="001512F3" w:rsidRPr="006F285C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E40A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7176-9</w:t>
            </w:r>
            <w:r w:rsidRPr="00757DF9">
              <w:rPr>
                <w:rFonts w:ascii="Times New Roman" w:hAnsi="Times New Roman" w:cs="Times New Roman"/>
                <w:sz w:val="24"/>
                <w:szCs w:val="24"/>
              </w:rPr>
              <w:t xml:space="preserve"> Wheelchairs - Part 9: Climatic tests for electric wheelchairs.</w:t>
            </w:r>
          </w:p>
        </w:tc>
        <w:tc>
          <w:tcPr>
            <w:tcW w:w="3827" w:type="dxa"/>
          </w:tcPr>
          <w:p w14:paraId="18A311AE" w14:textId="3DAE7796" w:rsidR="001512F3" w:rsidRPr="006F285C" w:rsidRDefault="00AE59C8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9)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/ISO 7176-9 : 2009 </w:t>
            </w:r>
            <w:r w:rsidR="001512F3" w:rsidRP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9 Climatic tests for electric wheelchairs</w:t>
            </w:r>
          </w:p>
        </w:tc>
        <w:tc>
          <w:tcPr>
            <w:tcW w:w="1650" w:type="dxa"/>
          </w:tcPr>
          <w:p w14:paraId="42E9FD81" w14:textId="37E69249" w:rsidR="001512F3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4C4EDE51" w14:textId="77777777" w:rsidTr="005D7B6B">
        <w:trPr>
          <w:trHeight w:val="1250"/>
        </w:trPr>
        <w:tc>
          <w:tcPr>
            <w:tcW w:w="3539" w:type="dxa"/>
          </w:tcPr>
          <w:p w14:paraId="4EEE55CF" w14:textId="1D0787CF" w:rsidR="001512F3" w:rsidRPr="006F285C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7176-10 Wheelchairs - Part 1</w:t>
            </w:r>
            <w:r w:rsidRPr="00757DF9">
              <w:rPr>
                <w:rFonts w:ascii="Times New Roman" w:hAnsi="Times New Roman" w:cs="Times New Roman"/>
                <w:sz w:val="24"/>
                <w:szCs w:val="24"/>
              </w:rPr>
              <w:t>0: Determination of obstacle-climbing ability of electric wheelchairs.</w:t>
            </w:r>
          </w:p>
        </w:tc>
        <w:tc>
          <w:tcPr>
            <w:tcW w:w="3827" w:type="dxa"/>
          </w:tcPr>
          <w:p w14:paraId="285EB819" w14:textId="692E7FBE" w:rsidR="001512F3" w:rsidRPr="006F285C" w:rsidRDefault="00AE59C8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10)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ISO 7176-10 : 2008 </w:t>
            </w:r>
            <w:r w:rsidR="001512F3" w:rsidRP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10 Determination of obstacle-climbing ability of electrically powered wheelchairs</w:t>
            </w:r>
          </w:p>
        </w:tc>
        <w:tc>
          <w:tcPr>
            <w:tcW w:w="1650" w:type="dxa"/>
          </w:tcPr>
          <w:p w14:paraId="54C95F03" w14:textId="2386C3CD" w:rsidR="001512F3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0837875C" w14:textId="77777777" w:rsidTr="005D7B6B">
        <w:trPr>
          <w:trHeight w:val="710"/>
        </w:trPr>
        <w:tc>
          <w:tcPr>
            <w:tcW w:w="3539" w:type="dxa"/>
          </w:tcPr>
          <w:p w14:paraId="5D121329" w14:textId="20615D9C" w:rsidR="001512F3" w:rsidRPr="006F285C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A750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7176-11</w:t>
            </w:r>
            <w:r w:rsidR="0092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DF9">
              <w:rPr>
                <w:rFonts w:ascii="Times New Roman" w:hAnsi="Times New Roman" w:cs="Times New Roman"/>
                <w:sz w:val="24"/>
                <w:szCs w:val="24"/>
              </w:rPr>
              <w:t>Wheelchairs -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 11</w:t>
            </w:r>
            <w:r w:rsidRPr="00757DF9">
              <w:rPr>
                <w:rFonts w:ascii="Times New Roman" w:hAnsi="Times New Roman" w:cs="Times New Roman"/>
                <w:sz w:val="24"/>
                <w:szCs w:val="24"/>
              </w:rPr>
              <w:t>: Test dummies.</w:t>
            </w:r>
          </w:p>
        </w:tc>
        <w:tc>
          <w:tcPr>
            <w:tcW w:w="3827" w:type="dxa"/>
          </w:tcPr>
          <w:p w14:paraId="1976013C" w14:textId="37E79C74" w:rsidR="001512F3" w:rsidRPr="006F285C" w:rsidRDefault="00AE59C8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11)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ISO 7176-11 : 2012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1512F3" w:rsidRP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11 Test dummies</w:t>
            </w:r>
          </w:p>
        </w:tc>
        <w:tc>
          <w:tcPr>
            <w:tcW w:w="1650" w:type="dxa"/>
          </w:tcPr>
          <w:p w14:paraId="5F1A1F81" w14:textId="04125BAE" w:rsidR="001512F3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04A11A60" w14:textId="77777777" w:rsidTr="005D7B6B">
        <w:trPr>
          <w:trHeight w:val="1250"/>
        </w:trPr>
        <w:tc>
          <w:tcPr>
            <w:tcW w:w="3539" w:type="dxa"/>
          </w:tcPr>
          <w:p w14:paraId="10A2525C" w14:textId="47F257CF" w:rsidR="001512F3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7176-1</w:t>
            </w:r>
            <w:r w:rsidR="00925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DF9">
              <w:rPr>
                <w:rFonts w:ascii="Times New Roman" w:hAnsi="Times New Roman" w:cs="Times New Roman"/>
                <w:sz w:val="24"/>
                <w:szCs w:val="24"/>
              </w:rPr>
              <w:t xml:space="preserve"> Wheelchairs - Part 13: Determination of coefficient of friction of test surfaces.</w:t>
            </w:r>
          </w:p>
        </w:tc>
        <w:tc>
          <w:tcPr>
            <w:tcW w:w="3827" w:type="dxa"/>
          </w:tcPr>
          <w:p w14:paraId="3E3E513D" w14:textId="093E6A80" w:rsidR="001512F3" w:rsidRPr="006F285C" w:rsidRDefault="00AE59C8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13)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ISO 7176-13 : 1989 </w:t>
            </w:r>
            <w:r w:rsidR="001512F3" w:rsidRP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13 Determination of coefficient of friction of test surfaces</w:t>
            </w:r>
          </w:p>
        </w:tc>
        <w:tc>
          <w:tcPr>
            <w:tcW w:w="1650" w:type="dxa"/>
          </w:tcPr>
          <w:p w14:paraId="77BF6560" w14:textId="4F53CB45" w:rsidR="001512F3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1512F3" w:rsidRPr="00341BCE" w14:paraId="58ACDF5A" w14:textId="77777777" w:rsidTr="005D7B6B">
        <w:tc>
          <w:tcPr>
            <w:tcW w:w="3539" w:type="dxa"/>
          </w:tcPr>
          <w:p w14:paraId="0C8309D5" w14:textId="3C62F1CB" w:rsidR="001512F3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F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B94B2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57DF9">
              <w:rPr>
                <w:rFonts w:ascii="Times New Roman" w:hAnsi="Times New Roman" w:cs="Times New Roman"/>
                <w:sz w:val="24"/>
                <w:szCs w:val="24"/>
              </w:rPr>
              <w:t xml:space="preserve"> 7176-14</w:t>
            </w:r>
            <w:r w:rsidR="0092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DF9">
              <w:rPr>
                <w:rFonts w:ascii="Times New Roman" w:hAnsi="Times New Roman" w:cs="Times New Roman"/>
                <w:sz w:val="24"/>
                <w:szCs w:val="24"/>
              </w:rPr>
              <w:t xml:space="preserve">Wheelchairs - Part 14: Power and control systems for electric wheelchairs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7DF9">
              <w:rPr>
                <w:rFonts w:ascii="Times New Roman" w:hAnsi="Times New Roman" w:cs="Times New Roman"/>
                <w:sz w:val="24"/>
                <w:szCs w:val="24"/>
              </w:rPr>
              <w:t xml:space="preserve"> Requirements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DF9">
              <w:rPr>
                <w:rFonts w:ascii="Times New Roman" w:hAnsi="Times New Roman" w:cs="Times New Roman"/>
                <w:sz w:val="24"/>
                <w:szCs w:val="24"/>
              </w:rPr>
              <w:t>and test methods.</w:t>
            </w:r>
          </w:p>
        </w:tc>
        <w:tc>
          <w:tcPr>
            <w:tcW w:w="3827" w:type="dxa"/>
          </w:tcPr>
          <w:p w14:paraId="1A1CDE03" w14:textId="2CC34671" w:rsidR="001512F3" w:rsidRPr="006F285C" w:rsidRDefault="00B94B24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94B2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1</w:t>
            </w:r>
            <w:r w:rsidR="00127A2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B94B2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) : 2024/ISO 7176-1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B94B2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2022</w:t>
            </w:r>
            <w:r w:rsidRPr="00B94B2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1512F3" w:rsidRPr="001512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14 Power and control systems for electrically powered wheelchairs and scooters Requirements and test methods</w:t>
            </w:r>
          </w:p>
        </w:tc>
        <w:tc>
          <w:tcPr>
            <w:tcW w:w="1650" w:type="dxa"/>
          </w:tcPr>
          <w:p w14:paraId="607DE451" w14:textId="5CAA0496" w:rsidR="001512F3" w:rsidRDefault="001512F3" w:rsidP="00B53E70">
            <w:pPr>
              <w:tabs>
                <w:tab w:val="left" w:pos="6825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8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770560" w:rsidRPr="00341BCE" w14:paraId="3246D79E" w14:textId="77777777" w:rsidTr="005D7B6B">
        <w:trPr>
          <w:trHeight w:val="674"/>
        </w:trPr>
        <w:tc>
          <w:tcPr>
            <w:tcW w:w="3539" w:type="dxa"/>
          </w:tcPr>
          <w:p w14:paraId="00589768" w14:textId="599BEAA6" w:rsidR="00770560" w:rsidRPr="00757DF9" w:rsidRDefault="00770560" w:rsidP="009258C2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A">
              <w:rPr>
                <w:rFonts w:ascii="Times New Roman" w:hAnsi="Times New Roman" w:cs="Times New Roman"/>
                <w:sz w:val="24"/>
                <w:szCs w:val="24"/>
              </w:rPr>
              <w:t>ISO 7176-15</w:t>
            </w:r>
            <w:r w:rsidR="0092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8A">
              <w:rPr>
                <w:rFonts w:ascii="Times New Roman" w:hAnsi="Times New Roman" w:cs="Times New Roman"/>
                <w:sz w:val="24"/>
                <w:szCs w:val="24"/>
              </w:rPr>
              <w:t>Wheelchairs — Part 15: Requirements for information disclosure, documentation and labelling</w:t>
            </w:r>
          </w:p>
        </w:tc>
        <w:tc>
          <w:tcPr>
            <w:tcW w:w="3827" w:type="dxa"/>
          </w:tcPr>
          <w:p w14:paraId="61B510B3" w14:textId="4D69BD10" w:rsidR="00770560" w:rsidRPr="001512F3" w:rsidRDefault="00AE59C8" w:rsidP="00AE59C8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15)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/ISO 7176-15 : 1996 </w:t>
            </w:r>
            <w:r w:rsidR="00770560" w:rsidRPr="0097338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15 Requirements for information disclosure documentation and labelling</w:t>
            </w:r>
          </w:p>
        </w:tc>
        <w:tc>
          <w:tcPr>
            <w:tcW w:w="1650" w:type="dxa"/>
          </w:tcPr>
          <w:p w14:paraId="7A4E8B67" w14:textId="636F439C" w:rsidR="00770560" w:rsidRPr="00975158" w:rsidRDefault="00770560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CF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770560" w:rsidRPr="00341BCE" w14:paraId="0B599A87" w14:textId="77777777" w:rsidTr="005D7B6B">
        <w:trPr>
          <w:trHeight w:val="1250"/>
        </w:trPr>
        <w:tc>
          <w:tcPr>
            <w:tcW w:w="3539" w:type="dxa"/>
          </w:tcPr>
          <w:p w14:paraId="07079993" w14:textId="1DC6722B" w:rsidR="00770560" w:rsidRPr="0097338A" w:rsidRDefault="00770560" w:rsidP="009258C2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ISO 7176-19</w:t>
            </w:r>
            <w:r w:rsidR="0092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8A">
              <w:rPr>
                <w:rFonts w:ascii="Times New Roman" w:hAnsi="Times New Roman" w:cs="Times New Roman"/>
                <w:sz w:val="24"/>
                <w:szCs w:val="24"/>
              </w:rPr>
              <w:t>Wheelchairs — Part 19: Wheeled mobility devices for use as seats in motor vehicles</w:t>
            </w:r>
          </w:p>
        </w:tc>
        <w:tc>
          <w:tcPr>
            <w:tcW w:w="3827" w:type="dxa"/>
          </w:tcPr>
          <w:p w14:paraId="499B58CB" w14:textId="6C86E0DB" w:rsidR="00770560" w:rsidRPr="0097338A" w:rsidRDefault="00AE59C8" w:rsidP="00AE59C8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 18651 (Part 19)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ISO 7176-19 : 2022 </w:t>
            </w:r>
            <w:r w:rsidR="00770560" w:rsidRPr="007705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19 Wheelchairs for use as seats in motor vehicles</w:t>
            </w:r>
          </w:p>
        </w:tc>
        <w:tc>
          <w:tcPr>
            <w:tcW w:w="1650" w:type="dxa"/>
          </w:tcPr>
          <w:p w14:paraId="67AA4D05" w14:textId="3E81A465" w:rsidR="00770560" w:rsidRPr="00975158" w:rsidRDefault="00770560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CF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770560" w:rsidRPr="00341BCE" w14:paraId="5B330DE4" w14:textId="77777777" w:rsidTr="005D7B6B">
        <w:trPr>
          <w:trHeight w:val="1773"/>
        </w:trPr>
        <w:tc>
          <w:tcPr>
            <w:tcW w:w="3539" w:type="dxa"/>
          </w:tcPr>
          <w:p w14:paraId="71D0DFF8" w14:textId="6875828B" w:rsidR="00770560" w:rsidRPr="0097338A" w:rsidRDefault="00770560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60">
              <w:rPr>
                <w:rFonts w:ascii="Times New Roman" w:hAnsi="Times New Roman" w:cs="Times New Roman"/>
                <w:sz w:val="24"/>
                <w:szCs w:val="24"/>
              </w:rPr>
              <w:t>ISO 7176-21:2009, Wheelchairs — Part 21: Requirements and test methods for electromagnetic compatibility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560">
              <w:rPr>
                <w:rFonts w:ascii="Times New Roman" w:hAnsi="Times New Roman" w:cs="Times New Roman"/>
                <w:sz w:val="24"/>
                <w:szCs w:val="24"/>
              </w:rPr>
              <w:t>of electrically powered wheelchairs and scooters, and battery chargers</w:t>
            </w:r>
          </w:p>
        </w:tc>
        <w:tc>
          <w:tcPr>
            <w:tcW w:w="3827" w:type="dxa"/>
          </w:tcPr>
          <w:p w14:paraId="752D220E" w14:textId="7800101F" w:rsidR="00770560" w:rsidRPr="00770560" w:rsidRDefault="00A425F7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IS 18651 (Part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ISO 7176-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: </w:t>
            </w:r>
            <w:r w:rsidR="005F0F0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2009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770560" w:rsidRPr="007705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21 Requirements and test methods for electromagnetic compatibility of electrically powered wheelchairs and scooters and battery chargers</w:t>
            </w:r>
          </w:p>
        </w:tc>
        <w:tc>
          <w:tcPr>
            <w:tcW w:w="1650" w:type="dxa"/>
          </w:tcPr>
          <w:p w14:paraId="5F8061C1" w14:textId="0E8C7FAD" w:rsidR="00770560" w:rsidRPr="00975158" w:rsidRDefault="00770560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CF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770560" w:rsidRPr="00341BCE" w14:paraId="6A1858D0" w14:textId="77777777" w:rsidTr="005D7B6B">
        <w:trPr>
          <w:trHeight w:val="710"/>
        </w:trPr>
        <w:tc>
          <w:tcPr>
            <w:tcW w:w="3539" w:type="dxa"/>
          </w:tcPr>
          <w:p w14:paraId="58AE541A" w14:textId="3C67E221" w:rsidR="00770560" w:rsidRPr="00770560" w:rsidRDefault="00770560" w:rsidP="009258C2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60">
              <w:rPr>
                <w:rFonts w:ascii="Times New Roman" w:hAnsi="Times New Roman" w:cs="Times New Roman"/>
                <w:sz w:val="24"/>
                <w:szCs w:val="24"/>
              </w:rPr>
              <w:t>ISO 7176-22</w:t>
            </w:r>
            <w:r w:rsidR="0092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560">
              <w:rPr>
                <w:rFonts w:ascii="Times New Roman" w:hAnsi="Times New Roman" w:cs="Times New Roman"/>
                <w:sz w:val="24"/>
                <w:szCs w:val="24"/>
              </w:rPr>
              <w:t>Wheelchairs — Part 22: Set-up procedures</w:t>
            </w:r>
          </w:p>
        </w:tc>
        <w:tc>
          <w:tcPr>
            <w:tcW w:w="3827" w:type="dxa"/>
          </w:tcPr>
          <w:p w14:paraId="32DD417D" w14:textId="757ED5AB" w:rsidR="00770560" w:rsidRPr="00770560" w:rsidRDefault="0068082F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IS 18651 (Part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) : 2024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ISO 7176-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: </w:t>
            </w:r>
            <w:r w:rsidR="00CF6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2014</w:t>
            </w:r>
            <w:r w:rsidRPr="00AE5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770560" w:rsidRPr="007705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 Part 22: Set-up procedures</w:t>
            </w:r>
          </w:p>
        </w:tc>
        <w:tc>
          <w:tcPr>
            <w:tcW w:w="1650" w:type="dxa"/>
          </w:tcPr>
          <w:p w14:paraId="6D261C4B" w14:textId="3F0AC02D" w:rsidR="00770560" w:rsidRPr="00975158" w:rsidRDefault="00770560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CF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770560" w:rsidRPr="00341BCE" w14:paraId="012E24AC" w14:textId="77777777" w:rsidTr="005D7B6B">
        <w:tc>
          <w:tcPr>
            <w:tcW w:w="3539" w:type="dxa"/>
          </w:tcPr>
          <w:p w14:paraId="6DB9248C" w14:textId="4944CA8A" w:rsidR="00770560" w:rsidRPr="00770560" w:rsidRDefault="00770560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ISO 7176-26, Wheelchairs — Part </w:t>
            </w:r>
            <w:r w:rsidRPr="00770560">
              <w:rPr>
                <w:rFonts w:ascii="Times New Roman" w:hAnsi="Times New Roman" w:cs="Times New Roman"/>
                <w:sz w:val="24"/>
                <w:szCs w:val="24"/>
              </w:rPr>
              <w:t>26: Vocabulary</w:t>
            </w:r>
          </w:p>
        </w:tc>
        <w:tc>
          <w:tcPr>
            <w:tcW w:w="3827" w:type="dxa"/>
          </w:tcPr>
          <w:p w14:paraId="785AE812" w14:textId="77777777" w:rsidR="00770560" w:rsidRDefault="00770560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705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IS/ISO 7176-26 : 2007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7705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Wheelchairs: Part 26 vocabulary</w:t>
            </w:r>
          </w:p>
          <w:p w14:paraId="72BBFFB3" w14:textId="5BB740E3" w:rsidR="009258C2" w:rsidRPr="00770560" w:rsidRDefault="009258C2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14D6526" w14:textId="1A7B5E42" w:rsidR="00770560" w:rsidRPr="00975158" w:rsidRDefault="00770560" w:rsidP="0077056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CF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  <w:tr w:rsidR="00F00B84" w:rsidRPr="00341BCE" w14:paraId="307FA7A7" w14:textId="77777777" w:rsidTr="005D7B6B">
        <w:tc>
          <w:tcPr>
            <w:tcW w:w="3539" w:type="dxa"/>
          </w:tcPr>
          <w:p w14:paraId="569CB9B0" w14:textId="0215F59D" w:rsidR="00F00B84" w:rsidRDefault="00F00B84" w:rsidP="00F00B84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AE">
              <w:rPr>
                <w:rFonts w:ascii="Times New Roman" w:hAnsi="Times New Roman" w:cs="Times New Roman"/>
                <w:sz w:val="24"/>
                <w:szCs w:val="24"/>
              </w:rPr>
              <w:t>ISO 14971, Medical devices — Application of risk management to medical devices</w:t>
            </w:r>
          </w:p>
        </w:tc>
        <w:tc>
          <w:tcPr>
            <w:tcW w:w="3827" w:type="dxa"/>
          </w:tcPr>
          <w:p w14:paraId="558C6DBA" w14:textId="1F7C35BE" w:rsidR="00F00B84" w:rsidRPr="00770560" w:rsidRDefault="00F00B84" w:rsidP="00F00B84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56FA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IS/ISO 14971: 2019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56FA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Medical devices - Application of risk management to medical devices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</w:t>
            </w:r>
            <w:r w:rsidRPr="00C56FAE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first revision</w:t>
            </w: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)</w:t>
            </w:r>
          </w:p>
        </w:tc>
        <w:tc>
          <w:tcPr>
            <w:tcW w:w="1650" w:type="dxa"/>
          </w:tcPr>
          <w:p w14:paraId="075A5BC7" w14:textId="7B268C38" w:rsidR="00F00B84" w:rsidRPr="00BA78CF" w:rsidRDefault="00F00B84" w:rsidP="00F00B84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71"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</w:tr>
    </w:tbl>
    <w:p w14:paraId="706A3C06" w14:textId="79DD5655" w:rsidR="00CE66C1" w:rsidRPr="00570F61" w:rsidRDefault="00CE66C1" w:rsidP="00CE66C1">
      <w:pPr>
        <w:tabs>
          <w:tab w:val="left" w:pos="682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66C1">
        <w:rPr>
          <w:rFonts w:ascii="Times New Roman" w:hAnsi="Times New Roman" w:cs="Times New Roman"/>
          <w:sz w:val="24"/>
          <w:szCs w:val="24"/>
        </w:rPr>
        <w:t>The technical committee has reviewed the provisions of the fo</w:t>
      </w:r>
      <w:r>
        <w:rPr>
          <w:rFonts w:ascii="Times New Roman" w:hAnsi="Times New Roman" w:cs="Times New Roman"/>
          <w:sz w:val="24"/>
          <w:szCs w:val="24"/>
        </w:rPr>
        <w:t xml:space="preserve">llowing International Standards </w:t>
      </w:r>
      <w:r w:rsidRPr="00CE66C1">
        <w:rPr>
          <w:rFonts w:ascii="Times New Roman" w:hAnsi="Times New Roman" w:cs="Times New Roman"/>
          <w:sz w:val="24"/>
          <w:szCs w:val="24"/>
        </w:rPr>
        <w:t>referred in this adopted standard and has decided that they are acceptable for use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6C1">
        <w:rPr>
          <w:rFonts w:ascii="Times New Roman" w:hAnsi="Times New Roman" w:cs="Times New Roman"/>
          <w:sz w:val="24"/>
          <w:szCs w:val="24"/>
        </w:rPr>
        <w:t>conjunction with this standard: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501"/>
      </w:tblGrid>
      <w:tr w:rsidR="00CE66C1" w14:paraId="60AAF6A0" w14:textId="77777777" w:rsidTr="005D7B6B">
        <w:trPr>
          <w:trHeight w:val="404"/>
        </w:trPr>
        <w:tc>
          <w:tcPr>
            <w:tcW w:w="2515" w:type="dxa"/>
          </w:tcPr>
          <w:p w14:paraId="6AF06215" w14:textId="731E4CF9" w:rsidR="00CE66C1" w:rsidRPr="00BC5688" w:rsidRDefault="00CE66C1" w:rsidP="00CE66C1">
            <w:pPr>
              <w:pStyle w:val="Default"/>
              <w:spacing w:after="340" w:line="321" w:lineRule="atLeast"/>
              <w:rPr>
                <w:rFonts w:ascii="Times New Roman" w:hAnsi="Times New Roman" w:cs="Times New Roman"/>
                <w:bCs/>
                <w:i/>
              </w:rPr>
            </w:pPr>
            <w:r w:rsidRPr="00BC5688">
              <w:rPr>
                <w:rFonts w:ascii="Times New Roman" w:hAnsi="Times New Roman" w:cs="Times New Roman"/>
                <w:bCs/>
                <w:i/>
              </w:rPr>
              <w:t xml:space="preserve">International Standard </w:t>
            </w:r>
          </w:p>
        </w:tc>
        <w:tc>
          <w:tcPr>
            <w:tcW w:w="6501" w:type="dxa"/>
          </w:tcPr>
          <w:p w14:paraId="22EFB2CC" w14:textId="6C7BE2D7" w:rsidR="00CE66C1" w:rsidRPr="00BC5688" w:rsidRDefault="00CE66C1" w:rsidP="0088001F">
            <w:pPr>
              <w:pStyle w:val="Default"/>
              <w:spacing w:after="340" w:line="321" w:lineRule="atLeast"/>
              <w:rPr>
                <w:rFonts w:ascii="Times New Roman" w:hAnsi="Times New Roman" w:cs="Times New Roman"/>
                <w:bCs/>
                <w:i/>
              </w:rPr>
            </w:pPr>
            <w:r w:rsidRPr="00BC5688">
              <w:rPr>
                <w:rFonts w:ascii="Times New Roman" w:hAnsi="Times New Roman" w:cs="Times New Roman"/>
                <w:bCs/>
                <w:i/>
              </w:rPr>
              <w:t>Title</w:t>
            </w:r>
          </w:p>
        </w:tc>
      </w:tr>
      <w:tr w:rsidR="00CE66C1" w14:paraId="7B588C96" w14:textId="77777777" w:rsidTr="005D7B6B">
        <w:trPr>
          <w:trHeight w:val="584"/>
        </w:trPr>
        <w:tc>
          <w:tcPr>
            <w:tcW w:w="2515" w:type="dxa"/>
          </w:tcPr>
          <w:p w14:paraId="19C45303" w14:textId="77028E98" w:rsidR="006F285C" w:rsidRPr="005A50BE" w:rsidRDefault="0097338A" w:rsidP="0088001F">
            <w:pPr>
              <w:pStyle w:val="Default"/>
              <w:spacing w:after="340" w:line="321" w:lineRule="atLeast"/>
              <w:rPr>
                <w:rFonts w:ascii="Times New Roman" w:hAnsi="Times New Roman" w:cs="Times New Roman"/>
                <w:bCs/>
              </w:rPr>
            </w:pPr>
            <w:r w:rsidRPr="002B511F">
              <w:rPr>
                <w:rFonts w:ascii="Times New Roman" w:hAnsi="Times New Roman" w:cs="Times New Roman"/>
                <w:bCs/>
              </w:rPr>
              <w:t>ISO 3880-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01" w:type="dxa"/>
          </w:tcPr>
          <w:p w14:paraId="1BB1495F" w14:textId="17BD8F15" w:rsidR="00CE66C1" w:rsidRPr="005A50BE" w:rsidRDefault="002B511F" w:rsidP="006F285C">
            <w:pPr>
              <w:pStyle w:val="Default"/>
              <w:spacing w:after="340" w:line="321" w:lineRule="atLeast"/>
              <w:rPr>
                <w:rFonts w:ascii="Times New Roman" w:hAnsi="Times New Roman" w:cs="Times New Roman"/>
                <w:bCs/>
              </w:rPr>
            </w:pPr>
            <w:r w:rsidRPr="002B511F">
              <w:rPr>
                <w:rFonts w:ascii="Times New Roman" w:hAnsi="Times New Roman" w:cs="Times New Roman"/>
                <w:bCs/>
              </w:rPr>
              <w:t>Building construction — Stairs — Vocabulary</w:t>
            </w:r>
          </w:p>
        </w:tc>
      </w:tr>
      <w:tr w:rsidR="0097338A" w14:paraId="2F1D8BB7" w14:textId="77777777" w:rsidTr="005D7B6B">
        <w:trPr>
          <w:trHeight w:val="809"/>
        </w:trPr>
        <w:tc>
          <w:tcPr>
            <w:tcW w:w="2515" w:type="dxa"/>
          </w:tcPr>
          <w:p w14:paraId="24453E2D" w14:textId="1BEFACCE" w:rsidR="0097338A" w:rsidRPr="002B511F" w:rsidRDefault="0097338A" w:rsidP="0088001F">
            <w:pPr>
              <w:pStyle w:val="Default"/>
              <w:spacing w:after="340" w:line="321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ISO 7176-16</w:t>
            </w:r>
          </w:p>
        </w:tc>
        <w:tc>
          <w:tcPr>
            <w:tcW w:w="6501" w:type="dxa"/>
          </w:tcPr>
          <w:p w14:paraId="0F6EF79A" w14:textId="1E7960A0" w:rsidR="0097338A" w:rsidRPr="002B511F" w:rsidRDefault="0097338A" w:rsidP="006F285C">
            <w:pPr>
              <w:pStyle w:val="Default"/>
              <w:spacing w:after="340" w:line="321" w:lineRule="atLeast"/>
              <w:rPr>
                <w:rFonts w:ascii="Times New Roman" w:hAnsi="Times New Roman" w:cs="Times New Roman"/>
                <w:bCs/>
              </w:rPr>
            </w:pPr>
            <w:r w:rsidRPr="0097338A">
              <w:rPr>
                <w:rFonts w:ascii="Times New Roman" w:hAnsi="Times New Roman" w:cs="Times New Roman"/>
                <w:bCs/>
              </w:rPr>
              <w:t>Wheelchairs — Part 16: Resistance to ignition of upholstered parts – Requirements and test methods</w:t>
            </w:r>
          </w:p>
        </w:tc>
      </w:tr>
    </w:tbl>
    <w:p w14:paraId="6938228A" w14:textId="5AFA98C3" w:rsidR="002F3A78" w:rsidRDefault="002F3A78" w:rsidP="002F3A78">
      <w:pPr>
        <w:tabs>
          <w:tab w:val="left" w:pos="682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1BCE">
        <w:rPr>
          <w:rFonts w:ascii="Times New Roman" w:hAnsi="Times New Roman" w:cs="Times New Roman"/>
          <w:sz w:val="24"/>
          <w:szCs w:val="24"/>
        </w:rPr>
        <w:t xml:space="preserve">For the purpose of deciding whether a particular requirement of this standard is complied with, the final value, observed or calculated, expressing the result of a test shall be rounded off in accordance with </w:t>
      </w:r>
      <w:r w:rsidRPr="00341BCE">
        <w:rPr>
          <w:rFonts w:ascii="Times New Roman" w:hAnsi="Times New Roman" w:cs="Times New Roman"/>
          <w:b/>
          <w:bCs/>
          <w:sz w:val="24"/>
          <w:szCs w:val="24"/>
        </w:rPr>
        <w:t>IS 2: 2022</w:t>
      </w:r>
      <w:r w:rsidRPr="00341BCE">
        <w:rPr>
          <w:rFonts w:ascii="Times New Roman" w:hAnsi="Times New Roman" w:cs="Times New Roman"/>
          <w:bCs/>
          <w:sz w:val="24"/>
          <w:szCs w:val="24"/>
        </w:rPr>
        <w:t xml:space="preserve"> ‘Rules for rounding off numerical values (</w:t>
      </w:r>
      <w:r w:rsidRPr="00341BCE">
        <w:rPr>
          <w:rFonts w:ascii="Times New Roman" w:hAnsi="Times New Roman" w:cs="Times New Roman"/>
          <w:bCs/>
          <w:i/>
          <w:sz w:val="24"/>
          <w:szCs w:val="24"/>
        </w:rPr>
        <w:t>second revision</w:t>
      </w:r>
      <w:r w:rsidRPr="00341BCE">
        <w:rPr>
          <w:rFonts w:ascii="Times New Roman" w:hAnsi="Times New Roman" w:cs="Times New Roman"/>
          <w:bCs/>
          <w:sz w:val="24"/>
          <w:szCs w:val="24"/>
        </w:rPr>
        <w:t>)’.</w:t>
      </w:r>
      <w:r w:rsidRPr="00341BCE">
        <w:rPr>
          <w:rFonts w:ascii="Times New Roman" w:hAnsi="Times New Roman" w:cs="Times New Roman"/>
          <w:sz w:val="24"/>
          <w:szCs w:val="24"/>
        </w:rPr>
        <w:t xml:space="preserve"> The number of significant places retained in the rounded off value should be same as that of the specified value in this standard.</w:t>
      </w:r>
    </w:p>
    <w:p w14:paraId="17D10F21" w14:textId="77777777" w:rsidR="00301072" w:rsidRPr="0044099D" w:rsidRDefault="00301072" w:rsidP="00301072">
      <w:pPr>
        <w:jc w:val="both"/>
        <w:rPr>
          <w:rFonts w:ascii="Times New Roman" w:hAnsi="Times New Roman" w:cs="Times New Roman"/>
          <w:sz w:val="24"/>
          <w:szCs w:val="24"/>
        </w:rPr>
      </w:pPr>
      <w:r w:rsidRPr="0044099D">
        <w:rPr>
          <w:rFonts w:ascii="Times New Roman" w:hAnsi="Times New Roman" w:cs="Times New Roman"/>
          <w:sz w:val="24"/>
          <w:szCs w:val="24"/>
        </w:rPr>
        <w:t>This standard also makes a reference to the BIS Certification Marking of the product, details of which is given in National Annex A.</w:t>
      </w:r>
    </w:p>
    <w:p w14:paraId="65AF7965" w14:textId="77777777" w:rsidR="00301072" w:rsidRDefault="00301072" w:rsidP="002F3A78">
      <w:pPr>
        <w:tabs>
          <w:tab w:val="left" w:pos="682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9A662CA" w14:textId="77777777" w:rsidR="00301072" w:rsidRDefault="00301072" w:rsidP="002F3A78">
      <w:pPr>
        <w:tabs>
          <w:tab w:val="left" w:pos="682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62A829CF" w14:textId="77777777" w:rsidR="00301072" w:rsidRDefault="00301072" w:rsidP="002F3A78">
      <w:pPr>
        <w:tabs>
          <w:tab w:val="left" w:pos="682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478F65C" w14:textId="77777777" w:rsidR="00301072" w:rsidRDefault="00301072" w:rsidP="002F3A78">
      <w:pPr>
        <w:tabs>
          <w:tab w:val="left" w:pos="682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C6573DC" w14:textId="77777777" w:rsidR="009F0CB6" w:rsidRPr="009F0CB6" w:rsidRDefault="009F0CB6" w:rsidP="009F0CB6">
      <w:pPr>
        <w:tabs>
          <w:tab w:val="left" w:pos="383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0C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NATIONAL ANNEX A</w:t>
      </w:r>
    </w:p>
    <w:p w14:paraId="7B1A7DC9" w14:textId="77777777" w:rsidR="009F0CB6" w:rsidRPr="009F0CB6" w:rsidRDefault="009F0CB6" w:rsidP="009F0CB6">
      <w:pPr>
        <w:tabs>
          <w:tab w:val="left" w:pos="3830"/>
        </w:tabs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F0CB6">
        <w:rPr>
          <w:rFonts w:ascii="Times New Roman" w:hAnsi="Times New Roman" w:cs="Times New Roman"/>
          <w:i/>
          <w:color w:val="000000"/>
          <w:sz w:val="24"/>
          <w:szCs w:val="24"/>
        </w:rPr>
        <w:t>(National Foreword)</w:t>
      </w:r>
    </w:p>
    <w:p w14:paraId="42587112" w14:textId="77777777" w:rsidR="009F0CB6" w:rsidRPr="009F0CB6" w:rsidRDefault="009F0CB6" w:rsidP="009F0CB6">
      <w:pPr>
        <w:tabs>
          <w:tab w:val="left" w:pos="3830"/>
        </w:tabs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68C7D" w14:textId="77777777" w:rsidR="009F0CB6" w:rsidRPr="009F0CB6" w:rsidRDefault="009F0CB6" w:rsidP="009F0CB6">
      <w:pPr>
        <w:tabs>
          <w:tab w:val="left" w:pos="3830"/>
        </w:tabs>
        <w:spacing w:before="24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0CB6">
        <w:rPr>
          <w:rFonts w:ascii="Times New Roman" w:hAnsi="Times New Roman" w:cs="Times New Roman"/>
          <w:b/>
          <w:color w:val="000000"/>
          <w:sz w:val="24"/>
          <w:szCs w:val="24"/>
        </w:rPr>
        <w:t>A-1 BIS CERTIFICATION MARKING</w:t>
      </w:r>
    </w:p>
    <w:p w14:paraId="37FCDD08" w14:textId="427EF025" w:rsidR="007E2538" w:rsidRPr="00D5038C" w:rsidRDefault="009F0CB6" w:rsidP="00D5038C">
      <w:pPr>
        <w:tabs>
          <w:tab w:val="left" w:pos="3830"/>
        </w:tabs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B6">
        <w:rPr>
          <w:rFonts w:ascii="Times New Roman" w:hAnsi="Times New Roman" w:cs="Times New Roman"/>
          <w:color w:val="000000"/>
          <w:sz w:val="24"/>
          <w:szCs w:val="24"/>
        </w:rPr>
        <w:t>The product(s) conforming to the requirements of this standard may be certified as per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CB6">
        <w:rPr>
          <w:rFonts w:ascii="Times New Roman" w:hAnsi="Times New Roman" w:cs="Times New Roman"/>
          <w:color w:val="000000"/>
          <w:sz w:val="24"/>
          <w:szCs w:val="24"/>
        </w:rPr>
        <w:t>conformity assessment schemes under the provisions of the Bureau of Indian Standards Act,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CB6">
        <w:rPr>
          <w:rFonts w:ascii="Times New Roman" w:hAnsi="Times New Roman" w:cs="Times New Roman"/>
          <w:color w:val="000000"/>
          <w:sz w:val="24"/>
          <w:szCs w:val="24"/>
        </w:rPr>
        <w:t>2016 and the Rules and Regulations framed thereunder, and the product(s) may be marked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CB6">
        <w:rPr>
          <w:rFonts w:ascii="Times New Roman" w:hAnsi="Times New Roman" w:cs="Times New Roman"/>
          <w:color w:val="000000"/>
          <w:sz w:val="24"/>
          <w:szCs w:val="24"/>
        </w:rPr>
        <w:t>with the Standard Mark.</w:t>
      </w:r>
    </w:p>
    <w:sectPr w:rsidR="007E2538" w:rsidRPr="00D50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DB23" w14:textId="77777777" w:rsidR="002B5D0E" w:rsidRDefault="002B5D0E" w:rsidP="007D0948">
      <w:pPr>
        <w:spacing w:after="0" w:line="240" w:lineRule="auto"/>
      </w:pPr>
      <w:r>
        <w:separator/>
      </w:r>
    </w:p>
  </w:endnote>
  <w:endnote w:type="continuationSeparator" w:id="0">
    <w:p w14:paraId="7C063DBC" w14:textId="77777777" w:rsidR="002B5D0E" w:rsidRDefault="002B5D0E" w:rsidP="007D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E7431" w14:textId="77777777" w:rsidR="002B5D0E" w:rsidRDefault="002B5D0E" w:rsidP="007D0948">
      <w:pPr>
        <w:spacing w:after="0" w:line="240" w:lineRule="auto"/>
      </w:pPr>
      <w:r>
        <w:separator/>
      </w:r>
    </w:p>
  </w:footnote>
  <w:footnote w:type="continuationSeparator" w:id="0">
    <w:p w14:paraId="0D8CA15B" w14:textId="77777777" w:rsidR="002B5D0E" w:rsidRDefault="002B5D0E" w:rsidP="007D0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25350"/>
    <w:multiLevelType w:val="hybridMultilevel"/>
    <w:tmpl w:val="C8B2DDB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83374"/>
    <w:multiLevelType w:val="hybridMultilevel"/>
    <w:tmpl w:val="C54CAB28"/>
    <w:lvl w:ilvl="0" w:tplc="C9B6D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35135">
    <w:abstractNumId w:val="0"/>
  </w:num>
  <w:num w:numId="2" w16cid:durableId="1417246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C0"/>
    <w:rsid w:val="00017444"/>
    <w:rsid w:val="000402C9"/>
    <w:rsid w:val="00047CFF"/>
    <w:rsid w:val="00051BB0"/>
    <w:rsid w:val="00052C81"/>
    <w:rsid w:val="00060123"/>
    <w:rsid w:val="000603A8"/>
    <w:rsid w:val="00064B7C"/>
    <w:rsid w:val="00066DFA"/>
    <w:rsid w:val="000963A1"/>
    <w:rsid w:val="000A6683"/>
    <w:rsid w:val="000E1E80"/>
    <w:rsid w:val="000E44B0"/>
    <w:rsid w:val="00101586"/>
    <w:rsid w:val="0011514D"/>
    <w:rsid w:val="00127A29"/>
    <w:rsid w:val="00137E98"/>
    <w:rsid w:val="00141048"/>
    <w:rsid w:val="001512F3"/>
    <w:rsid w:val="001604BA"/>
    <w:rsid w:val="00164A4B"/>
    <w:rsid w:val="001758B0"/>
    <w:rsid w:val="00186295"/>
    <w:rsid w:val="00193F6F"/>
    <w:rsid w:val="00194B05"/>
    <w:rsid w:val="001A684A"/>
    <w:rsid w:val="001B0404"/>
    <w:rsid w:val="001B4CA5"/>
    <w:rsid w:val="001C1D50"/>
    <w:rsid w:val="001C6551"/>
    <w:rsid w:val="001D656B"/>
    <w:rsid w:val="001E0EF8"/>
    <w:rsid w:val="002027A4"/>
    <w:rsid w:val="00211100"/>
    <w:rsid w:val="00213C7D"/>
    <w:rsid w:val="00217110"/>
    <w:rsid w:val="00224149"/>
    <w:rsid w:val="002279E4"/>
    <w:rsid w:val="00252120"/>
    <w:rsid w:val="002550BB"/>
    <w:rsid w:val="00255746"/>
    <w:rsid w:val="00286319"/>
    <w:rsid w:val="00293F29"/>
    <w:rsid w:val="002A071A"/>
    <w:rsid w:val="002B511F"/>
    <w:rsid w:val="002B5D0E"/>
    <w:rsid w:val="002C3622"/>
    <w:rsid w:val="002C3828"/>
    <w:rsid w:val="002D6A13"/>
    <w:rsid w:val="002E0883"/>
    <w:rsid w:val="002E1C23"/>
    <w:rsid w:val="002F1C1B"/>
    <w:rsid w:val="002F3A78"/>
    <w:rsid w:val="00301072"/>
    <w:rsid w:val="003031EB"/>
    <w:rsid w:val="00317C7B"/>
    <w:rsid w:val="00321543"/>
    <w:rsid w:val="00322F20"/>
    <w:rsid w:val="0033198C"/>
    <w:rsid w:val="00341BCE"/>
    <w:rsid w:val="00351F5A"/>
    <w:rsid w:val="0036032C"/>
    <w:rsid w:val="00372AC1"/>
    <w:rsid w:val="00377806"/>
    <w:rsid w:val="00392090"/>
    <w:rsid w:val="00397E38"/>
    <w:rsid w:val="003B759F"/>
    <w:rsid w:val="003D062A"/>
    <w:rsid w:val="003D37A7"/>
    <w:rsid w:val="003E75A9"/>
    <w:rsid w:val="00400FE0"/>
    <w:rsid w:val="00416A43"/>
    <w:rsid w:val="00422A4B"/>
    <w:rsid w:val="00424A53"/>
    <w:rsid w:val="004429B9"/>
    <w:rsid w:val="00453454"/>
    <w:rsid w:val="004561FC"/>
    <w:rsid w:val="004576F4"/>
    <w:rsid w:val="00463DF0"/>
    <w:rsid w:val="004643FD"/>
    <w:rsid w:val="0047297C"/>
    <w:rsid w:val="00481C9D"/>
    <w:rsid w:val="004908AC"/>
    <w:rsid w:val="00494932"/>
    <w:rsid w:val="004E7A63"/>
    <w:rsid w:val="00505FCF"/>
    <w:rsid w:val="00521F30"/>
    <w:rsid w:val="00526664"/>
    <w:rsid w:val="00532B7E"/>
    <w:rsid w:val="0053476B"/>
    <w:rsid w:val="00536B73"/>
    <w:rsid w:val="00536FA8"/>
    <w:rsid w:val="00570F61"/>
    <w:rsid w:val="00572A25"/>
    <w:rsid w:val="005819A9"/>
    <w:rsid w:val="00592648"/>
    <w:rsid w:val="005A50BE"/>
    <w:rsid w:val="005A6610"/>
    <w:rsid w:val="005B26E3"/>
    <w:rsid w:val="005B4C9F"/>
    <w:rsid w:val="005C6112"/>
    <w:rsid w:val="005C6BC3"/>
    <w:rsid w:val="005D7B6B"/>
    <w:rsid w:val="005E0F23"/>
    <w:rsid w:val="005F0F0B"/>
    <w:rsid w:val="0060513E"/>
    <w:rsid w:val="00617697"/>
    <w:rsid w:val="006204BA"/>
    <w:rsid w:val="00636791"/>
    <w:rsid w:val="006370AB"/>
    <w:rsid w:val="00637170"/>
    <w:rsid w:val="006424FC"/>
    <w:rsid w:val="006604FA"/>
    <w:rsid w:val="0068003F"/>
    <w:rsid w:val="0068082F"/>
    <w:rsid w:val="00680D6A"/>
    <w:rsid w:val="00680DF3"/>
    <w:rsid w:val="006A1E2C"/>
    <w:rsid w:val="006B36DD"/>
    <w:rsid w:val="006C4034"/>
    <w:rsid w:val="006E1D54"/>
    <w:rsid w:val="006F285C"/>
    <w:rsid w:val="007214B4"/>
    <w:rsid w:val="007343B0"/>
    <w:rsid w:val="0073655B"/>
    <w:rsid w:val="00741B71"/>
    <w:rsid w:val="007429A4"/>
    <w:rsid w:val="007513A7"/>
    <w:rsid w:val="00757DF9"/>
    <w:rsid w:val="00760DF9"/>
    <w:rsid w:val="00770560"/>
    <w:rsid w:val="0078037F"/>
    <w:rsid w:val="007931A4"/>
    <w:rsid w:val="007B52B7"/>
    <w:rsid w:val="007C4527"/>
    <w:rsid w:val="007C7103"/>
    <w:rsid w:val="007D0948"/>
    <w:rsid w:val="007D0A39"/>
    <w:rsid w:val="007D6312"/>
    <w:rsid w:val="007E2538"/>
    <w:rsid w:val="007E3835"/>
    <w:rsid w:val="007F5DCD"/>
    <w:rsid w:val="00803082"/>
    <w:rsid w:val="00831086"/>
    <w:rsid w:val="00832ED6"/>
    <w:rsid w:val="00842FBA"/>
    <w:rsid w:val="00862DB8"/>
    <w:rsid w:val="00871374"/>
    <w:rsid w:val="0088001F"/>
    <w:rsid w:val="0088310D"/>
    <w:rsid w:val="008909D0"/>
    <w:rsid w:val="00891284"/>
    <w:rsid w:val="008A0603"/>
    <w:rsid w:val="008A2876"/>
    <w:rsid w:val="008A42AE"/>
    <w:rsid w:val="008C65A4"/>
    <w:rsid w:val="008E0FD1"/>
    <w:rsid w:val="008E5E7A"/>
    <w:rsid w:val="008F711F"/>
    <w:rsid w:val="0090587E"/>
    <w:rsid w:val="009109FA"/>
    <w:rsid w:val="009157AC"/>
    <w:rsid w:val="00920640"/>
    <w:rsid w:val="00923175"/>
    <w:rsid w:val="0092415A"/>
    <w:rsid w:val="009258C2"/>
    <w:rsid w:val="00935816"/>
    <w:rsid w:val="00963B7E"/>
    <w:rsid w:val="0096550C"/>
    <w:rsid w:val="0097338A"/>
    <w:rsid w:val="009B1040"/>
    <w:rsid w:val="009C4291"/>
    <w:rsid w:val="009C481B"/>
    <w:rsid w:val="009D176F"/>
    <w:rsid w:val="009E01BA"/>
    <w:rsid w:val="009E0FD2"/>
    <w:rsid w:val="009E3210"/>
    <w:rsid w:val="009E4707"/>
    <w:rsid w:val="009E5566"/>
    <w:rsid w:val="009F0CB6"/>
    <w:rsid w:val="009F1CD7"/>
    <w:rsid w:val="00A038DD"/>
    <w:rsid w:val="00A122EE"/>
    <w:rsid w:val="00A16ED3"/>
    <w:rsid w:val="00A33BA7"/>
    <w:rsid w:val="00A345FE"/>
    <w:rsid w:val="00A37866"/>
    <w:rsid w:val="00A40740"/>
    <w:rsid w:val="00A425F7"/>
    <w:rsid w:val="00A442F7"/>
    <w:rsid w:val="00A50663"/>
    <w:rsid w:val="00A66F6A"/>
    <w:rsid w:val="00A70908"/>
    <w:rsid w:val="00A750C0"/>
    <w:rsid w:val="00A809CA"/>
    <w:rsid w:val="00A80B02"/>
    <w:rsid w:val="00A819E7"/>
    <w:rsid w:val="00A85F8B"/>
    <w:rsid w:val="00A86A68"/>
    <w:rsid w:val="00A97632"/>
    <w:rsid w:val="00AB5E28"/>
    <w:rsid w:val="00AE189A"/>
    <w:rsid w:val="00AE59C8"/>
    <w:rsid w:val="00B02920"/>
    <w:rsid w:val="00B066A4"/>
    <w:rsid w:val="00B07C5A"/>
    <w:rsid w:val="00B225CF"/>
    <w:rsid w:val="00B3200E"/>
    <w:rsid w:val="00B41489"/>
    <w:rsid w:val="00B442F1"/>
    <w:rsid w:val="00B53E70"/>
    <w:rsid w:val="00B60924"/>
    <w:rsid w:val="00B649FA"/>
    <w:rsid w:val="00B66E1F"/>
    <w:rsid w:val="00B75F64"/>
    <w:rsid w:val="00B76F4C"/>
    <w:rsid w:val="00B94B24"/>
    <w:rsid w:val="00B96469"/>
    <w:rsid w:val="00BB2F38"/>
    <w:rsid w:val="00BB3D33"/>
    <w:rsid w:val="00BB4E7A"/>
    <w:rsid w:val="00BB7214"/>
    <w:rsid w:val="00BB7E1D"/>
    <w:rsid w:val="00BC435C"/>
    <w:rsid w:val="00BC5688"/>
    <w:rsid w:val="00BC78F3"/>
    <w:rsid w:val="00BE41E0"/>
    <w:rsid w:val="00BE687D"/>
    <w:rsid w:val="00C041A0"/>
    <w:rsid w:val="00C216A0"/>
    <w:rsid w:val="00C42CBF"/>
    <w:rsid w:val="00C441F2"/>
    <w:rsid w:val="00C74BC2"/>
    <w:rsid w:val="00C86E68"/>
    <w:rsid w:val="00CA6C00"/>
    <w:rsid w:val="00CB2E97"/>
    <w:rsid w:val="00CB75A3"/>
    <w:rsid w:val="00CC05D0"/>
    <w:rsid w:val="00CC2725"/>
    <w:rsid w:val="00CC6185"/>
    <w:rsid w:val="00CE66C1"/>
    <w:rsid w:val="00CF62DC"/>
    <w:rsid w:val="00D06CA3"/>
    <w:rsid w:val="00D10074"/>
    <w:rsid w:val="00D101CF"/>
    <w:rsid w:val="00D14258"/>
    <w:rsid w:val="00D312EE"/>
    <w:rsid w:val="00D31818"/>
    <w:rsid w:val="00D5038C"/>
    <w:rsid w:val="00DA0F93"/>
    <w:rsid w:val="00DA1744"/>
    <w:rsid w:val="00DA17E9"/>
    <w:rsid w:val="00DA6BC4"/>
    <w:rsid w:val="00DA79A1"/>
    <w:rsid w:val="00DB416B"/>
    <w:rsid w:val="00DC42C0"/>
    <w:rsid w:val="00E0355F"/>
    <w:rsid w:val="00E03EB1"/>
    <w:rsid w:val="00E2494E"/>
    <w:rsid w:val="00E2621C"/>
    <w:rsid w:val="00E330EB"/>
    <w:rsid w:val="00E40ABD"/>
    <w:rsid w:val="00E45AF9"/>
    <w:rsid w:val="00E56AA1"/>
    <w:rsid w:val="00E84E79"/>
    <w:rsid w:val="00E8518A"/>
    <w:rsid w:val="00EA4E96"/>
    <w:rsid w:val="00EA7DCB"/>
    <w:rsid w:val="00EF54A2"/>
    <w:rsid w:val="00F00B84"/>
    <w:rsid w:val="00F20C9E"/>
    <w:rsid w:val="00F370DB"/>
    <w:rsid w:val="00F409F4"/>
    <w:rsid w:val="00F45FB1"/>
    <w:rsid w:val="00F551BF"/>
    <w:rsid w:val="00FB1ED3"/>
    <w:rsid w:val="00FB2ED4"/>
    <w:rsid w:val="00FB353C"/>
    <w:rsid w:val="00FC1487"/>
    <w:rsid w:val="00FD2BF1"/>
    <w:rsid w:val="00F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CDC8F"/>
  <w15:chartTrackingRefBased/>
  <w15:docId w15:val="{AB2AC023-7BBE-4EE9-979D-04A0E8D9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93F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948"/>
  </w:style>
  <w:style w:type="paragraph" w:styleId="Footer">
    <w:name w:val="footer"/>
    <w:basedOn w:val="Normal"/>
    <w:link w:val="FooterChar"/>
    <w:uiPriority w:val="99"/>
    <w:unhideWhenUsed/>
    <w:rsid w:val="007D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948"/>
  </w:style>
  <w:style w:type="table" w:styleId="TableGrid">
    <w:name w:val="Table Grid"/>
    <w:basedOn w:val="TableNormal"/>
    <w:uiPriority w:val="39"/>
    <w:rsid w:val="008A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97C"/>
    <w:rPr>
      <w:color w:val="0563C1" w:themeColor="hyperlink"/>
      <w:u w:val="single"/>
    </w:rPr>
  </w:style>
  <w:style w:type="paragraph" w:customStyle="1" w:styleId="Default">
    <w:name w:val="Default"/>
    <w:rsid w:val="005C6B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B442F1"/>
    <w:pPr>
      <w:spacing w:line="2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B442F1"/>
    <w:pPr>
      <w:spacing w:line="221" w:lineRule="atLeast"/>
    </w:pPr>
    <w:rPr>
      <w:rFonts w:cstheme="minorBidi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193F6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B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34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Gurpreet Kaur</cp:lastModifiedBy>
  <cp:revision>91</cp:revision>
  <cp:lastPrinted>2023-09-11T06:59:00Z</cp:lastPrinted>
  <dcterms:created xsi:type="dcterms:W3CDTF">2024-04-16T04:00:00Z</dcterms:created>
  <dcterms:modified xsi:type="dcterms:W3CDTF">2024-09-12T17:51:00Z</dcterms:modified>
</cp:coreProperties>
</file>