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100"/>
        <w:ind w:left="1232" w:right="1258"/>
        <w:jc w:val="center"/>
        <w:rPr>
          <w:rFonts w:ascii="Nirmala UI" w:hAnsi="Nirmala UI" w:cs="Nirmala UI" w:eastAsia="Nirmala UI"/>
        </w:rPr>
      </w:pPr>
      <w:r>
        <w:rPr>
          <w:rFonts w:ascii="Nirmala UI" w:hAnsi="Nirmala UI" w:cs="Nirmala UI" w:eastAsia="Nirmala UI"/>
        </w:rPr>
        <w:t>भारतीय</w:t>
      </w:r>
      <w:r>
        <w:rPr>
          <w:rFonts w:ascii="Nirmala UI" w:hAnsi="Nirmala UI" w:cs="Nirmala UI" w:eastAsia="Nirmala UI"/>
          <w:spacing w:val="-4"/>
        </w:rPr>
        <w:t> </w:t>
      </w:r>
      <w:r>
        <w:rPr>
          <w:rFonts w:ascii="Nirmala UI" w:hAnsi="Nirmala UI" w:cs="Nirmala UI" w:eastAsia="Nirmala UI"/>
        </w:rPr>
        <w:t>मानक</w:t>
      </w:r>
    </w:p>
    <w:p>
      <w:pPr>
        <w:pStyle w:val="BodyText"/>
        <w:spacing w:before="9"/>
        <w:rPr>
          <w:rFonts w:ascii="Nirmala UI"/>
          <w:sz w:val="46"/>
        </w:rPr>
      </w:pPr>
    </w:p>
    <w:p>
      <w:pPr>
        <w:pStyle w:val="Heading1"/>
        <w:rPr>
          <w:rFonts w:ascii="Nirmala UI" w:hAnsi="Nirmala UI" w:cs="Nirmala UI" w:eastAsia="Nirmala UI"/>
        </w:rPr>
      </w:pPr>
      <w:r>
        <w:rPr>
          <w:rFonts w:ascii="Nirmala UI" w:hAnsi="Nirmala UI" w:cs="Nirmala UI" w:eastAsia="Nirmala UI"/>
        </w:rPr>
        <w:t>धोनेवाले</w:t>
      </w:r>
      <w:r>
        <w:rPr>
          <w:rFonts w:ascii="Nirmala UI" w:hAnsi="Nirmala UI" w:cs="Nirmala UI" w:eastAsia="Nirmala UI"/>
          <w:spacing w:val="2"/>
        </w:rPr>
        <w:t> </w:t>
      </w:r>
      <w:r>
        <w:rPr>
          <w:rFonts w:ascii="Nirmala UI" w:hAnsi="Nirmala UI" w:cs="Nirmala UI" w:eastAsia="Nirmala UI"/>
        </w:rPr>
        <w:t>कीटाणुशोधक</w:t>
      </w:r>
    </w:p>
    <w:p>
      <w:pPr>
        <w:pStyle w:val="BodyText"/>
        <w:spacing w:line="259" w:lineRule="auto" w:before="28"/>
        <w:ind w:left="1232" w:right="1259"/>
        <w:jc w:val="center"/>
        <w:rPr>
          <w:rFonts w:ascii="Nirmala UI" w:hAnsi="Nirmala UI" w:cs="Nirmala UI" w:eastAsia="Nirmala UI"/>
        </w:rPr>
      </w:pPr>
      <w:r>
        <w:rPr>
          <w:rFonts w:ascii="Nirmala UI" w:hAnsi="Nirmala UI" w:cs="Nirmala UI" w:eastAsia="Nirmala UI"/>
        </w:rPr>
        <w:t>भाग</w:t>
      </w:r>
      <w:r>
        <w:rPr>
          <w:rFonts w:ascii="Nirmala UI" w:hAnsi="Nirmala UI" w:cs="Nirmala UI" w:eastAsia="Nirmala UI"/>
          <w:spacing w:val="-2"/>
        </w:rPr>
        <w:t> </w:t>
      </w:r>
      <w:r>
        <w:rPr>
          <w:rFonts w:ascii="Nirmala UI" w:hAnsi="Nirmala UI" w:cs="Nirmala UI" w:eastAsia="Nirmala UI"/>
        </w:rPr>
        <w:t>5</w:t>
      </w:r>
      <w:r>
        <w:rPr>
          <w:rFonts w:ascii="Nirmala UI" w:hAnsi="Nirmala UI" w:cs="Nirmala UI" w:eastAsia="Nirmala UI"/>
          <w:spacing w:val="-1"/>
        </w:rPr>
        <w:t> स</w:t>
      </w:r>
      <w:r>
        <w:rPr>
          <w:rFonts w:ascii="Nirmala UI" w:hAnsi="Nirmala UI" w:cs="Nirmala UI" w:eastAsia="Nirmala UI"/>
          <w:spacing w:val="-2"/>
        </w:rPr>
        <w:t>फ</w:t>
      </w:r>
      <w:r>
        <w:rPr>
          <w:rFonts w:ascii="Nirmala UI" w:hAnsi="Nirmala UI" w:cs="Nirmala UI" w:eastAsia="Nirmala UI"/>
        </w:rPr>
        <w:t>ाई</w:t>
      </w:r>
      <w:r>
        <w:rPr>
          <w:rFonts w:ascii="Nirmala UI" w:hAnsi="Nirmala UI" w:cs="Nirmala UI" w:eastAsia="Nirmala UI"/>
          <w:spacing w:val="-1"/>
        </w:rPr>
        <w:t> </w:t>
      </w:r>
      <w:r>
        <w:rPr>
          <w:rFonts w:ascii="Nirmala UI" w:hAnsi="Nirmala UI" w:cs="Nirmala UI" w:eastAsia="Nirmala UI"/>
          <w:spacing w:val="-1"/>
          <w:w w:val="81"/>
        </w:rPr>
        <w:t>प्रभा</w:t>
      </w:r>
      <w:r>
        <w:rPr>
          <w:rFonts w:ascii="Nirmala UI" w:hAnsi="Nirmala UI" w:cs="Nirmala UI" w:eastAsia="Nirmala UI"/>
          <w:w w:val="81"/>
        </w:rPr>
        <w:t>व</w:t>
      </w:r>
      <w:r>
        <w:rPr>
          <w:rFonts w:ascii="Nirmala UI" w:hAnsi="Nirmala UI" w:cs="Nirmala UI" w:eastAsia="Nirmala UI"/>
          <w:spacing w:val="-1"/>
        </w:rPr>
        <w:t>क</w:t>
      </w:r>
      <w:r>
        <w:rPr>
          <w:rFonts w:ascii="Nirmala UI" w:hAnsi="Nirmala UI" w:cs="Nirmala UI" w:eastAsia="Nirmala UI"/>
          <w:w w:val="87"/>
        </w:rPr>
        <w:t>ारर</w:t>
      </w:r>
      <w:r>
        <w:rPr>
          <w:rFonts w:ascii="Nirmala UI" w:hAnsi="Nirmala UI" w:cs="Nirmala UI" w:eastAsia="Nirmala UI"/>
          <w:spacing w:val="1"/>
          <w:w w:val="87"/>
        </w:rPr>
        <w:t>त</w:t>
      </w:r>
      <w:r>
        <w:rPr>
          <w:rFonts w:ascii="Nirmala UI" w:hAnsi="Nirmala UI" w:cs="Nirmala UI" w:eastAsia="Nirmala UI"/>
        </w:rPr>
        <w:t>ा</w:t>
      </w:r>
      <w:r>
        <w:rPr>
          <w:rFonts w:ascii="Nirmala UI" w:hAnsi="Nirmala UI" w:cs="Nirmala UI" w:eastAsia="Nirmala UI"/>
          <w:spacing w:val="-1"/>
        </w:rPr>
        <w:t> क</w:t>
      </w:r>
      <w:r>
        <w:rPr>
          <w:rFonts w:ascii="Nirmala UI" w:hAnsi="Nirmala UI" w:cs="Nirmala UI" w:eastAsia="Nirmala UI"/>
        </w:rPr>
        <w:t>ा</w:t>
      </w:r>
      <w:r>
        <w:rPr>
          <w:rFonts w:ascii="Nirmala UI" w:hAnsi="Nirmala UI" w:cs="Nirmala UI" w:eastAsia="Nirmala UI"/>
          <w:spacing w:val="-1"/>
        </w:rPr>
        <w:t> </w:t>
      </w:r>
      <w:r>
        <w:rPr>
          <w:rFonts w:ascii="Nirmala UI" w:hAnsi="Nirmala UI" w:cs="Nirmala UI" w:eastAsia="Nirmala UI"/>
          <w:w w:val="55"/>
        </w:rPr>
        <w:t>प्</w:t>
      </w:r>
      <w:r>
        <w:rPr>
          <w:rFonts w:ascii="Nirmala UI" w:hAnsi="Nirmala UI" w:cs="Nirmala UI" w:eastAsia="Nirmala UI"/>
          <w:spacing w:val="1"/>
          <w:w w:val="55"/>
        </w:rPr>
        <w:t>र</w:t>
      </w:r>
      <w:r>
        <w:rPr>
          <w:rFonts w:ascii="Nirmala UI" w:hAnsi="Nirmala UI" w:cs="Nirmala UI" w:eastAsia="Nirmala UI"/>
          <w:spacing w:val="-1"/>
        </w:rPr>
        <w:t>द</w:t>
      </w:r>
      <w:r>
        <w:rPr>
          <w:rFonts w:ascii="Nirmala UI" w:hAnsi="Nirmala UI" w:cs="Nirmala UI" w:eastAsia="Nirmala UI"/>
          <w:spacing w:val="-8"/>
        </w:rPr>
        <w:t>श</w:t>
      </w:r>
      <w:r>
        <w:rPr>
          <w:rFonts w:ascii="Nirmala UI" w:hAnsi="Nirmala UI" w:cs="Nirmala UI" w:eastAsia="Nirmala UI"/>
          <w:spacing w:val="6"/>
          <w:w w:val="1"/>
        </w:rPr>
        <w:t>श</w:t>
      </w:r>
      <w:r>
        <w:rPr>
          <w:rFonts w:ascii="Nirmala UI" w:hAnsi="Nirmala UI" w:cs="Nirmala UI" w:eastAsia="Nirmala UI"/>
        </w:rPr>
        <w:t>न</w:t>
      </w:r>
      <w:r>
        <w:rPr>
          <w:rFonts w:ascii="Nirmala UI" w:hAnsi="Nirmala UI" w:cs="Nirmala UI" w:eastAsia="Nirmala UI"/>
          <w:spacing w:val="3"/>
        </w:rPr>
        <w:t> </w:t>
      </w:r>
      <w:r>
        <w:rPr>
          <w:rFonts w:ascii="Nirmala UI" w:hAnsi="Nirmala UI" w:cs="Nirmala UI" w:eastAsia="Nirmala UI"/>
          <w:spacing w:val="-1"/>
        </w:rPr>
        <w:t>क</w:t>
      </w:r>
      <w:r>
        <w:rPr>
          <w:rFonts w:ascii="Nirmala UI" w:hAnsi="Nirmala UI" w:cs="Nirmala UI" w:eastAsia="Nirmala UI"/>
        </w:rPr>
        <w:t>र</w:t>
      </w:r>
      <w:r>
        <w:rPr>
          <w:rFonts w:ascii="Nirmala UI" w:hAnsi="Nirmala UI" w:cs="Nirmala UI" w:eastAsia="Nirmala UI"/>
          <w:spacing w:val="-7"/>
        </w:rPr>
        <w:t>न</w:t>
      </w:r>
      <w:r>
        <w:rPr>
          <w:rFonts w:ascii="Nirmala UI" w:hAnsi="Nirmala UI" w:cs="Nirmala UI" w:eastAsia="Nirmala UI"/>
        </w:rPr>
        <w:t>े</w:t>
      </w:r>
      <w:r>
        <w:rPr>
          <w:rFonts w:ascii="Nirmala UI" w:hAnsi="Nirmala UI" w:cs="Nirmala UI" w:eastAsia="Nirmala UI"/>
          <w:spacing w:val="6"/>
        </w:rPr>
        <w:t> </w:t>
      </w:r>
      <w:r>
        <w:rPr>
          <w:rFonts w:ascii="Nirmala UI" w:hAnsi="Nirmala UI" w:cs="Nirmala UI" w:eastAsia="Nirmala UI"/>
          <w:spacing w:val="-81"/>
        </w:rPr>
        <w:t>क</w:t>
      </w:r>
      <w:r>
        <w:rPr>
          <w:rFonts w:ascii="Nirmala UI" w:hAnsi="Nirmala UI" w:cs="Nirmala UI" w:eastAsia="Nirmala UI"/>
        </w:rPr>
        <w:t>े</w:t>
      </w:r>
      <w:r>
        <w:rPr>
          <w:rFonts w:ascii="Nirmala UI" w:hAnsi="Nirmala UI" w:cs="Nirmala UI" w:eastAsia="Nirmala UI"/>
          <w:spacing w:val="-2"/>
        </w:rPr>
        <w:t> </w:t>
      </w:r>
      <w:r>
        <w:rPr>
          <w:rFonts w:ascii="Nirmala UI" w:hAnsi="Nirmala UI" w:cs="Nirmala UI" w:eastAsia="Nirmala UI"/>
          <w:spacing w:val="2"/>
          <w:w w:val="36"/>
        </w:rPr>
        <w:t>ल</w:t>
      </w:r>
      <w:r>
        <w:rPr>
          <w:rFonts w:ascii="Nirmala UI" w:hAnsi="Nirmala UI" w:cs="Nirmala UI" w:eastAsia="Nirmala UI"/>
          <w:spacing w:val="-2"/>
        </w:rPr>
        <w:t>ल</w:t>
      </w:r>
      <w:r>
        <w:rPr>
          <w:rFonts w:ascii="Nirmala UI" w:hAnsi="Nirmala UI" w:cs="Nirmala UI" w:eastAsia="Nirmala UI"/>
        </w:rPr>
        <w:t>ए</w:t>
      </w:r>
      <w:r>
        <w:rPr>
          <w:rFonts w:ascii="Nirmala UI" w:hAnsi="Nirmala UI" w:cs="Nirmala UI" w:eastAsia="Nirmala UI"/>
          <w:spacing w:val="1"/>
        </w:rPr>
        <w:t> </w:t>
      </w:r>
      <w:r>
        <w:rPr>
          <w:rFonts w:ascii="Nirmala UI" w:hAnsi="Nirmala UI" w:cs="Nirmala UI" w:eastAsia="Nirmala UI"/>
          <w:spacing w:val="-1"/>
          <w:w w:val="71"/>
        </w:rPr>
        <w:t>प्र</w:t>
      </w:r>
      <w:r>
        <w:rPr>
          <w:rFonts w:ascii="Nirmala UI" w:hAnsi="Nirmala UI" w:cs="Nirmala UI" w:eastAsia="Nirmala UI"/>
          <w:spacing w:val="-2"/>
          <w:w w:val="71"/>
        </w:rPr>
        <w:t>द</w:t>
      </w:r>
      <w:r>
        <w:rPr>
          <w:rFonts w:ascii="Nirmala UI" w:hAnsi="Nirmala UI" w:cs="Nirmala UI" w:eastAsia="Nirmala UI"/>
          <w:spacing w:val="-8"/>
        </w:rPr>
        <w:t>श</w:t>
      </w:r>
      <w:r>
        <w:rPr>
          <w:rFonts w:ascii="Nirmala UI" w:hAnsi="Nirmala UI" w:cs="Nirmala UI" w:eastAsia="Nirmala UI"/>
          <w:spacing w:val="6"/>
          <w:w w:val="1"/>
        </w:rPr>
        <w:t>श</w:t>
      </w:r>
      <w:r>
        <w:rPr>
          <w:rFonts w:ascii="Nirmala UI" w:hAnsi="Nirmala UI" w:cs="Nirmala UI" w:eastAsia="Nirmala UI"/>
        </w:rPr>
        <w:t>न</w:t>
      </w:r>
      <w:r>
        <w:rPr>
          <w:rFonts w:ascii="Nirmala UI" w:hAnsi="Nirmala UI" w:cs="Nirmala UI" w:eastAsia="Nirmala UI"/>
          <w:spacing w:val="-1"/>
        </w:rPr>
        <w:t> </w:t>
      </w:r>
      <w:r>
        <w:rPr>
          <w:rFonts w:ascii="Nirmala UI" w:hAnsi="Nirmala UI" w:cs="Nirmala UI" w:eastAsia="Nirmala UI"/>
          <w:spacing w:val="-1"/>
          <w:w w:val="94"/>
        </w:rPr>
        <w:t>आवश्यकत</w:t>
      </w:r>
      <w:r>
        <w:rPr>
          <w:rFonts w:ascii="Nirmala UI" w:hAnsi="Nirmala UI" w:cs="Nirmala UI" w:eastAsia="Nirmala UI"/>
        </w:rPr>
        <w:t>ा</w:t>
      </w:r>
      <w:r>
        <w:rPr>
          <w:rFonts w:ascii="Nirmala UI" w:hAnsi="Nirmala UI" w:cs="Nirmala UI" w:eastAsia="Nirmala UI"/>
          <w:spacing w:val="-44"/>
        </w:rPr>
        <w:t>ए</w:t>
      </w:r>
      <w:r>
        <w:rPr>
          <w:rFonts w:ascii="Nirmala UI" w:hAnsi="Nirmala UI" w:cs="Nirmala UI" w:eastAsia="Nirmala UI"/>
        </w:rPr>
        <w:t>ँ </w:t>
      </w:r>
      <w:r>
        <w:rPr>
          <w:rFonts w:ascii="Nirmala UI" w:hAnsi="Nirmala UI" w:cs="Nirmala UI" w:eastAsia="Nirmala UI"/>
          <w:spacing w:val="-22"/>
        </w:rPr>
        <w:t> </w:t>
      </w:r>
      <w:r>
        <w:rPr>
          <w:rFonts w:ascii="Nirmala UI" w:hAnsi="Nirmala UI" w:cs="Nirmala UI" w:eastAsia="Nirmala UI"/>
          <w:spacing w:val="-1"/>
        </w:rPr>
        <w:t>और </w:t>
      </w:r>
      <w:r>
        <w:rPr>
          <w:rFonts w:ascii="Nirmala UI" w:hAnsi="Nirmala UI" w:cs="Nirmala UI" w:eastAsia="Nirmala UI"/>
        </w:rPr>
        <w:t>परीक्षण</w:t>
      </w:r>
      <w:r>
        <w:rPr>
          <w:rFonts w:ascii="Nirmala UI" w:hAnsi="Nirmala UI" w:cs="Nirmala UI" w:eastAsia="Nirmala UI"/>
          <w:spacing w:val="-5"/>
        </w:rPr>
        <w:t> </w:t>
      </w:r>
      <w:r>
        <w:rPr>
          <w:rFonts w:ascii="Nirmala UI" w:hAnsi="Nirmala UI" w:cs="Nirmala UI" w:eastAsia="Nirmala UI"/>
        </w:rPr>
        <w:t>लवलध</w:t>
      </w:r>
      <w:r>
        <w:rPr>
          <w:rFonts w:ascii="Nirmala UI" w:hAnsi="Nirmala UI" w:cs="Nirmala UI" w:eastAsia="Nirmala UI"/>
          <w:spacing w:val="-8"/>
        </w:rPr>
        <w:t> </w:t>
      </w:r>
      <w:r>
        <w:rPr>
          <w:rFonts w:ascii="Nirmala UI" w:hAnsi="Nirmala UI" w:cs="Nirmala UI" w:eastAsia="Nirmala UI"/>
        </w:rPr>
        <w:t>मानदंड</w:t>
      </w:r>
    </w:p>
    <w:p>
      <w:pPr>
        <w:pStyle w:val="BodyText"/>
        <w:spacing w:line="319" w:lineRule="exact"/>
        <w:ind w:left="1232" w:right="1258"/>
        <w:jc w:val="center"/>
        <w:rPr>
          <w:rFonts w:ascii="Nirmala UI" w:hAnsi="Nirmala UI" w:cs="Nirmala UI" w:eastAsia="Nirmala UI"/>
        </w:rPr>
      </w:pPr>
      <w:r>
        <w:rPr>
          <w:w w:val="95"/>
        </w:rPr>
        <w:t>(ISO</w:t>
      </w:r>
      <w:r>
        <w:rPr>
          <w:spacing w:val="10"/>
          <w:w w:val="95"/>
        </w:rPr>
        <w:t> </w:t>
      </w:r>
      <w:r>
        <w:rPr>
          <w:w w:val="95"/>
        </w:rPr>
        <w:t>15883-5:2021,</w:t>
      </w:r>
      <w:r>
        <w:rPr>
          <w:spacing w:val="11"/>
          <w:w w:val="95"/>
        </w:rPr>
        <w:t> </w:t>
      </w:r>
      <w:r>
        <w:rPr>
          <w:rFonts w:ascii="Nirmala UI" w:hAnsi="Nirmala UI" w:cs="Nirmala UI" w:eastAsia="Nirmala UI"/>
          <w:w w:val="95"/>
        </w:rPr>
        <w:t>संशोलधत)</w:t>
      </w:r>
    </w:p>
    <w:p>
      <w:pPr>
        <w:pStyle w:val="BodyText"/>
        <w:rPr>
          <w:rFonts w:ascii="Nirmala UI"/>
          <w:sz w:val="32"/>
        </w:rPr>
      </w:pPr>
    </w:p>
    <w:p>
      <w:pPr>
        <w:pStyle w:val="BodyText"/>
        <w:rPr>
          <w:rFonts w:ascii="Nirmala UI"/>
          <w:sz w:val="32"/>
        </w:rPr>
      </w:pPr>
    </w:p>
    <w:p>
      <w:pPr>
        <w:pStyle w:val="BodyText"/>
        <w:rPr>
          <w:rFonts w:ascii="Nirmala UI"/>
          <w:sz w:val="32"/>
        </w:rPr>
      </w:pPr>
    </w:p>
    <w:p>
      <w:pPr>
        <w:pStyle w:val="BodyText"/>
        <w:spacing w:before="237"/>
        <w:ind w:left="1232" w:right="1259"/>
        <w:jc w:val="center"/>
      </w:pPr>
      <w:r>
        <w:rPr/>
        <w:t>Indian</w:t>
      </w:r>
      <w:r>
        <w:rPr>
          <w:spacing w:val="-2"/>
        </w:rPr>
        <w:t> </w:t>
      </w:r>
      <w:r>
        <w:rPr/>
        <w:t>Standard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</w:pPr>
      <w:r>
        <w:rPr/>
        <w:t>Washer-Disinfectors</w:t>
      </w:r>
    </w:p>
    <w:p>
      <w:pPr>
        <w:pStyle w:val="BodyText"/>
        <w:spacing w:line="259" w:lineRule="auto" w:before="29"/>
        <w:ind w:left="1232" w:right="1256"/>
        <w:jc w:val="center"/>
      </w:pPr>
      <w:r>
        <w:rPr/>
        <w:t>Part 5 Performance Requirements and Test Method Criteria for</w:t>
      </w:r>
      <w:r>
        <w:rPr>
          <w:spacing w:val="-57"/>
        </w:rPr>
        <w:t> </w:t>
      </w:r>
      <w:r>
        <w:rPr/>
        <w:t>Demonstrating</w:t>
      </w:r>
      <w:r>
        <w:rPr>
          <w:spacing w:val="-4"/>
        </w:rPr>
        <w:t> </w:t>
      </w:r>
      <w:r>
        <w:rPr/>
        <w:t>Cleaning Efficacy</w:t>
      </w:r>
    </w:p>
    <w:p>
      <w:pPr>
        <w:pStyle w:val="BodyText"/>
        <w:spacing w:line="275" w:lineRule="exact"/>
        <w:ind w:left="1232" w:right="1258"/>
        <w:jc w:val="center"/>
      </w:pPr>
      <w:r>
        <w:rPr/>
        <w:t>(ISO</w:t>
      </w:r>
      <w:r>
        <w:rPr>
          <w:spacing w:val="-1"/>
        </w:rPr>
        <w:t> </w:t>
      </w:r>
      <w:r>
        <w:rPr/>
        <w:t>15883-5:2021,</w:t>
      </w:r>
      <w:r>
        <w:rPr>
          <w:spacing w:val="-1"/>
        </w:rPr>
        <w:t> </w:t>
      </w:r>
      <w:r>
        <w:rPr/>
        <w:t>MOD)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9"/>
        <w:ind w:left="1232" w:right="1257"/>
        <w:jc w:val="center"/>
      </w:pPr>
      <w:r>
        <w:rPr/>
        <w:t>ICS</w:t>
      </w:r>
      <w:r>
        <w:rPr>
          <w:spacing w:val="-2"/>
        </w:rPr>
        <w:t> </w:t>
      </w:r>
      <w:r>
        <w:rPr/>
        <w:t>11.080.10</w:t>
      </w:r>
    </w:p>
    <w:p>
      <w:pPr>
        <w:spacing w:after="0"/>
        <w:jc w:val="center"/>
        <w:sectPr>
          <w:headerReference w:type="default" r:id="rId5"/>
          <w:type w:val="continuous"/>
          <w:pgSz w:w="12240" w:h="15840"/>
          <w:pgMar w:header="729" w:top="1460" w:bottom="280" w:left="1320" w:right="1320"/>
          <w:pgNumType w:start="1"/>
        </w:sectPr>
      </w:pPr>
    </w:p>
    <w:p>
      <w:pPr>
        <w:pStyle w:val="BodyText"/>
        <w:spacing w:before="80"/>
        <w:ind w:left="122"/>
      </w:pPr>
      <w:r>
        <w:rPr/>
        <w:t>Hospital</w:t>
      </w:r>
      <w:r>
        <w:rPr>
          <w:spacing w:val="-2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Surgical</w:t>
      </w:r>
      <w:r>
        <w:rPr>
          <w:spacing w:val="1"/>
        </w:rPr>
        <w:t> </w:t>
      </w:r>
      <w:r>
        <w:rPr/>
        <w:t>Disposal</w:t>
      </w:r>
      <w:r>
        <w:rPr>
          <w:spacing w:val="-2"/>
        </w:rPr>
        <w:t> </w:t>
      </w:r>
      <w:r>
        <w:rPr/>
        <w:t>Sectional</w:t>
      </w:r>
      <w:r>
        <w:rPr>
          <w:spacing w:val="-1"/>
        </w:rPr>
        <w:t> </w:t>
      </w:r>
      <w:r>
        <w:rPr/>
        <w:t>Committee,</w:t>
      </w:r>
      <w:r>
        <w:rPr>
          <w:spacing w:val="-2"/>
        </w:rPr>
        <w:t> </w:t>
      </w:r>
      <w:r>
        <w:rPr/>
        <w:t>MHD</w:t>
      </w:r>
      <w:r>
        <w:rPr>
          <w:spacing w:val="-2"/>
        </w:rPr>
        <w:t> </w:t>
      </w:r>
      <w:r>
        <w:rPr/>
        <w:t>12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22"/>
      </w:pPr>
      <w:r>
        <w:rPr/>
        <w:t>NATIONAL</w:t>
      </w:r>
      <w:r>
        <w:rPr>
          <w:spacing w:val="-4"/>
        </w:rPr>
        <w:t> </w:t>
      </w:r>
      <w:r>
        <w:rPr/>
        <w:t>FOREWORD</w:t>
      </w:r>
    </w:p>
    <w:p>
      <w:pPr>
        <w:pStyle w:val="BodyText"/>
        <w:spacing w:line="259" w:lineRule="auto" w:before="164"/>
        <w:ind w:left="122" w:right="144"/>
        <w:jc w:val="both"/>
      </w:pPr>
      <w:r>
        <w:rPr/>
        <w:t>This Indian Standard (Part 5) which is identical with ISO 15883-5:2021, ‘Washer-disinfectors —</w:t>
      </w:r>
      <w:r>
        <w:rPr>
          <w:spacing w:val="-57"/>
        </w:rPr>
        <w:t> </w:t>
      </w:r>
      <w:r>
        <w:rPr/>
        <w:t>Part 5: Performance requirements and test method criteria for demonstrating cleaning efficacy’</w:t>
      </w:r>
      <w:r>
        <w:rPr>
          <w:spacing w:val="1"/>
        </w:rPr>
        <w:t> </w:t>
      </w:r>
      <w:r>
        <w:rPr/>
        <w:t>issued by the International Organization for Standardization was adopted by Bureau of Indian</w:t>
      </w:r>
      <w:r>
        <w:rPr>
          <w:spacing w:val="1"/>
        </w:rPr>
        <w:t> </w:t>
      </w:r>
      <w:r>
        <w:rPr/>
        <w:t>Standards on the recommendation of the Hospital Equipment and Surgical Disposal Sectional</w:t>
      </w:r>
      <w:r>
        <w:rPr>
          <w:spacing w:val="1"/>
        </w:rPr>
        <w:t> </w:t>
      </w:r>
      <w:r>
        <w:rPr/>
        <w:t>Committee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after</w:t>
      </w:r>
      <w:r>
        <w:rPr>
          <w:spacing w:val="-8"/>
        </w:rPr>
        <w:t> </w:t>
      </w:r>
      <w:r>
        <w:rPr/>
        <w:t>approval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Medical</w:t>
      </w:r>
      <w:r>
        <w:rPr>
          <w:spacing w:val="-7"/>
        </w:rPr>
        <w:t> </w:t>
      </w:r>
      <w:r>
        <w:rPr/>
        <w:t>Equipment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Hospital</w:t>
      </w:r>
      <w:r>
        <w:rPr>
          <w:spacing w:val="-7"/>
        </w:rPr>
        <w:t> </w:t>
      </w:r>
      <w:r>
        <w:rPr/>
        <w:t>Planning</w:t>
      </w:r>
      <w:r>
        <w:rPr>
          <w:spacing w:val="-10"/>
        </w:rPr>
        <w:t> </w:t>
      </w:r>
      <w:r>
        <w:rPr/>
        <w:t>Division</w:t>
      </w:r>
      <w:r>
        <w:rPr>
          <w:spacing w:val="-8"/>
        </w:rPr>
        <w:t> </w:t>
      </w:r>
      <w:r>
        <w:rPr/>
        <w:t>Council.</w:t>
      </w:r>
    </w:p>
    <w:p>
      <w:pPr>
        <w:pStyle w:val="BodyText"/>
        <w:spacing w:line="259" w:lineRule="auto" w:before="177"/>
        <w:ind w:left="122" w:right="144"/>
        <w:jc w:val="both"/>
      </w:pPr>
      <w:r>
        <w:rPr/>
        <w:t>This Indian Standard supersedes IS/ISO/TS 15883-5:2005 which was published in 2019 as an</w:t>
      </w:r>
      <w:r>
        <w:rPr>
          <w:spacing w:val="1"/>
        </w:rPr>
        <w:t> </w:t>
      </w:r>
      <w:r>
        <w:rPr/>
        <w:t>Identical</w:t>
      </w:r>
      <w:r>
        <w:rPr>
          <w:spacing w:val="-7"/>
        </w:rPr>
        <w:t> </w:t>
      </w:r>
      <w:r>
        <w:rPr/>
        <w:t>adoption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ISO/TS</w:t>
      </w:r>
      <w:r>
        <w:rPr>
          <w:spacing w:val="-4"/>
        </w:rPr>
        <w:t> </w:t>
      </w:r>
      <w:r>
        <w:rPr/>
        <w:t>15883-5:2005.</w:t>
      </w:r>
      <w:r>
        <w:rPr>
          <w:spacing w:val="-7"/>
        </w:rPr>
        <w:t> </w:t>
      </w:r>
      <w:r>
        <w:rPr/>
        <w:t>After</w:t>
      </w:r>
      <w:r>
        <w:rPr>
          <w:spacing w:val="-5"/>
        </w:rPr>
        <w:t> </w:t>
      </w:r>
      <w:r>
        <w:rPr/>
        <w:t>publication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standard,</w:t>
      </w:r>
      <w:r>
        <w:rPr>
          <w:spacing w:val="-6"/>
        </w:rPr>
        <w:t> </w:t>
      </w:r>
      <w:r>
        <w:rPr/>
        <w:t>IS/ISO/TS</w:t>
      </w:r>
      <w:r>
        <w:rPr>
          <w:spacing w:val="-6"/>
        </w:rPr>
        <w:t> </w:t>
      </w:r>
      <w:r>
        <w:rPr/>
        <w:t>15883-</w:t>
      </w:r>
      <w:r>
        <w:rPr>
          <w:spacing w:val="-58"/>
        </w:rPr>
        <w:t> </w:t>
      </w:r>
      <w:r>
        <w:rPr/>
        <w:t>5:2005</w:t>
      </w:r>
      <w:r>
        <w:rPr>
          <w:spacing w:val="-1"/>
        </w:rPr>
        <w:t> </w:t>
      </w:r>
      <w:r>
        <w:rPr/>
        <w:t>stands withdrawn.</w:t>
      </w:r>
    </w:p>
    <w:p>
      <w:pPr>
        <w:pStyle w:val="BodyText"/>
        <w:spacing w:line="259" w:lineRule="auto" w:before="175"/>
        <w:ind w:left="122" w:right="145"/>
        <w:jc w:val="both"/>
      </w:pPr>
      <w:r>
        <w:rPr/>
        <w:t>The</w:t>
      </w:r>
      <w:r>
        <w:rPr>
          <w:spacing w:val="56"/>
        </w:rPr>
        <w:t> </w:t>
      </w:r>
      <w:r>
        <w:rPr/>
        <w:t>text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ISO</w:t>
      </w:r>
      <w:r>
        <w:rPr>
          <w:spacing w:val="57"/>
        </w:rPr>
        <w:t> </w:t>
      </w:r>
      <w:r>
        <w:rPr/>
        <w:t>Standard,</w:t>
      </w:r>
      <w:r>
        <w:rPr>
          <w:spacing w:val="59"/>
        </w:rPr>
        <w:t> </w:t>
      </w:r>
      <w:r>
        <w:rPr/>
        <w:t>ISO</w:t>
      </w:r>
      <w:r>
        <w:rPr>
          <w:spacing w:val="57"/>
        </w:rPr>
        <w:t> </w:t>
      </w:r>
      <w:r>
        <w:rPr/>
        <w:t>15883-5:2021</w:t>
      </w:r>
      <w:r>
        <w:rPr>
          <w:spacing w:val="58"/>
        </w:rPr>
        <w:t> </w:t>
      </w:r>
      <w:r>
        <w:rPr/>
        <w:t>‘Washer-disinfectors</w:t>
      </w:r>
      <w:r>
        <w:rPr>
          <w:spacing w:val="58"/>
        </w:rPr>
        <w:t> </w:t>
      </w:r>
      <w:r>
        <w:rPr/>
        <w:t>—</w:t>
      </w:r>
      <w:r>
        <w:rPr>
          <w:spacing w:val="59"/>
        </w:rPr>
        <w:t> </w:t>
      </w:r>
      <w:r>
        <w:rPr/>
        <w:t>Part</w:t>
      </w:r>
      <w:r>
        <w:rPr>
          <w:spacing w:val="58"/>
        </w:rPr>
        <w:t> </w:t>
      </w:r>
      <w:r>
        <w:rPr/>
        <w:t>5:</w:t>
      </w:r>
      <w:r>
        <w:rPr>
          <w:spacing w:val="57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requirements and test method criteria for demonstrating cleaning efficacy’, has been approved as</w:t>
      </w:r>
      <w:r>
        <w:rPr>
          <w:spacing w:val="-57"/>
        </w:rPr>
        <w:t> </w:t>
      </w:r>
      <w:r>
        <w:rPr>
          <w:spacing w:val="-1"/>
        </w:rPr>
        <w:t>suitable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publication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/>
        <w:t>an</w:t>
      </w:r>
      <w:r>
        <w:rPr>
          <w:spacing w:val="-10"/>
        </w:rPr>
        <w:t> </w:t>
      </w:r>
      <w:r>
        <w:rPr/>
        <w:t>Indian</w:t>
      </w:r>
      <w:r>
        <w:rPr>
          <w:spacing w:val="-13"/>
        </w:rPr>
        <w:t> </w:t>
      </w:r>
      <w:r>
        <w:rPr/>
        <w:t>Standard</w:t>
      </w:r>
      <w:r>
        <w:rPr>
          <w:spacing w:val="-12"/>
        </w:rPr>
        <w:t> </w:t>
      </w:r>
      <w:r>
        <w:rPr/>
        <w:t>without</w:t>
      </w:r>
      <w:r>
        <w:rPr>
          <w:spacing w:val="-12"/>
        </w:rPr>
        <w:t> </w:t>
      </w:r>
      <w:r>
        <w:rPr/>
        <w:t>deviations.</w:t>
      </w:r>
      <w:r>
        <w:rPr>
          <w:spacing w:val="-12"/>
        </w:rPr>
        <w:t> </w:t>
      </w:r>
      <w:r>
        <w:rPr/>
        <w:t>Certain</w:t>
      </w:r>
      <w:r>
        <w:rPr>
          <w:spacing w:val="-12"/>
        </w:rPr>
        <w:t> </w:t>
      </w:r>
      <w:r>
        <w:rPr/>
        <w:t>conventions</w:t>
      </w:r>
      <w:r>
        <w:rPr>
          <w:spacing w:val="-12"/>
        </w:rPr>
        <w:t> </w:t>
      </w:r>
      <w:r>
        <w:rPr/>
        <w:t>are</w:t>
      </w:r>
      <w:r>
        <w:rPr>
          <w:spacing w:val="-14"/>
        </w:rPr>
        <w:t> </w:t>
      </w:r>
      <w:r>
        <w:rPr/>
        <w:t>however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identical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Indian Standards.</w:t>
      </w:r>
      <w:r>
        <w:rPr>
          <w:spacing w:val="-1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particularly</w:t>
      </w:r>
      <w:r>
        <w:rPr>
          <w:spacing w:val="-6"/>
        </w:rPr>
        <w:t> </w:t>
      </w:r>
      <w:r>
        <w:rPr/>
        <w:t>drawn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61" w:lineRule="auto" w:before="5" w:after="0"/>
        <w:ind w:left="842" w:right="150" w:hanging="360"/>
        <w:jc w:val="both"/>
        <w:rPr>
          <w:sz w:val="24"/>
        </w:rPr>
      </w:pPr>
      <w:r>
        <w:rPr>
          <w:sz w:val="24"/>
        </w:rPr>
        <w:t>Wherever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words</w:t>
      </w:r>
      <w:r>
        <w:rPr>
          <w:spacing w:val="-8"/>
          <w:sz w:val="24"/>
        </w:rPr>
        <w:t> </w:t>
      </w:r>
      <w:r>
        <w:rPr>
          <w:sz w:val="24"/>
        </w:rPr>
        <w:t>‘International</w:t>
      </w:r>
      <w:r>
        <w:rPr>
          <w:spacing w:val="-6"/>
          <w:sz w:val="24"/>
        </w:rPr>
        <w:t> </w:t>
      </w:r>
      <w:r>
        <w:rPr>
          <w:sz w:val="24"/>
        </w:rPr>
        <w:t>Standard’</w:t>
      </w:r>
      <w:r>
        <w:rPr>
          <w:spacing w:val="-6"/>
          <w:sz w:val="24"/>
        </w:rPr>
        <w:t> </w:t>
      </w:r>
      <w:r>
        <w:rPr>
          <w:sz w:val="24"/>
        </w:rPr>
        <w:t>appear</w:t>
      </w:r>
      <w:r>
        <w:rPr>
          <w:spacing w:val="-8"/>
          <w:sz w:val="24"/>
        </w:rPr>
        <w:t> </w:t>
      </w:r>
      <w:r>
        <w:rPr>
          <w:sz w:val="24"/>
        </w:rPr>
        <w:t>referring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standard,</w:t>
      </w:r>
      <w:r>
        <w:rPr>
          <w:spacing w:val="-7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should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read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‘Indian Standard’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61" w:lineRule="auto" w:before="0" w:after="0"/>
        <w:ind w:left="842" w:right="154" w:hanging="360"/>
        <w:jc w:val="both"/>
        <w:rPr>
          <w:sz w:val="24"/>
        </w:rPr>
      </w:pPr>
      <w:r>
        <w:rPr>
          <w:sz w:val="24"/>
        </w:rPr>
        <w:t>Comma (,) has been used as a decimal marker while in Indian Standards, the current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is to use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point (.)</w:t>
      </w:r>
      <w:r>
        <w:rPr>
          <w:spacing w:val="-2"/>
          <w:sz w:val="24"/>
        </w:rPr>
        <w:t> </w:t>
      </w:r>
      <w:r>
        <w:rPr>
          <w:sz w:val="24"/>
        </w:rPr>
        <w:t>as the decimal</w:t>
      </w:r>
      <w:r>
        <w:rPr>
          <w:spacing w:val="-1"/>
          <w:sz w:val="24"/>
        </w:rPr>
        <w:t> </w:t>
      </w:r>
      <w:r>
        <w:rPr>
          <w:sz w:val="24"/>
        </w:rPr>
        <w:t>marker.</w:t>
      </w:r>
    </w:p>
    <w:p>
      <w:pPr>
        <w:pStyle w:val="BodyText"/>
        <w:rPr>
          <w:sz w:val="25"/>
        </w:rPr>
      </w:pPr>
    </w:p>
    <w:p>
      <w:pPr>
        <w:pStyle w:val="BodyText"/>
        <w:spacing w:line="259" w:lineRule="auto"/>
        <w:ind w:left="122" w:right="146"/>
        <w:jc w:val="both"/>
      </w:pPr>
      <w:r>
        <w:rPr/>
        <w:t>In this adopted standard, reference appears to certain International Standards for which Indian</w:t>
      </w:r>
      <w:r>
        <w:rPr>
          <w:spacing w:val="1"/>
        </w:rPr>
        <w:t> </w:t>
      </w:r>
      <w:r>
        <w:rPr/>
        <w:t>Standards also exist. The corresponding Indian Standards which are to be substituted in their</w:t>
      </w:r>
      <w:r>
        <w:rPr>
          <w:spacing w:val="1"/>
        </w:rPr>
        <w:t> </w:t>
      </w:r>
      <w:r>
        <w:rPr/>
        <w:t>respective</w:t>
      </w:r>
      <w:r>
        <w:rPr>
          <w:spacing w:val="-12"/>
        </w:rPr>
        <w:t> </w:t>
      </w:r>
      <w:r>
        <w:rPr/>
        <w:t>places</w:t>
      </w:r>
      <w:r>
        <w:rPr>
          <w:spacing w:val="-11"/>
        </w:rPr>
        <w:t> </w:t>
      </w:r>
      <w:r>
        <w:rPr/>
        <w:t>are</w:t>
      </w:r>
      <w:r>
        <w:rPr>
          <w:spacing w:val="-12"/>
        </w:rPr>
        <w:t> </w:t>
      </w:r>
      <w:r>
        <w:rPr/>
        <w:t>listed</w:t>
      </w:r>
      <w:r>
        <w:rPr>
          <w:spacing w:val="-11"/>
        </w:rPr>
        <w:t> </w:t>
      </w:r>
      <w:r>
        <w:rPr/>
        <w:t>below</w:t>
      </w:r>
      <w:r>
        <w:rPr>
          <w:spacing w:val="-11"/>
        </w:rPr>
        <w:t> </w:t>
      </w:r>
      <w:r>
        <w:rPr/>
        <w:t>along</w:t>
      </w:r>
      <w:r>
        <w:rPr>
          <w:spacing w:val="-13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their</w:t>
      </w:r>
      <w:r>
        <w:rPr>
          <w:spacing w:val="-12"/>
        </w:rPr>
        <w:t> </w:t>
      </w:r>
      <w:r>
        <w:rPr/>
        <w:t>degree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equivalence</w:t>
      </w:r>
      <w:r>
        <w:rPr>
          <w:spacing w:val="-12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editions</w:t>
      </w:r>
      <w:r>
        <w:rPr>
          <w:spacing w:val="-13"/>
        </w:rPr>
        <w:t> </w:t>
      </w:r>
      <w:r>
        <w:rPr/>
        <w:t>indicated:</w:t>
      </w:r>
    </w:p>
    <w:p>
      <w:pPr>
        <w:pStyle w:val="BodyText"/>
        <w:spacing w:before="9"/>
        <w:rPr>
          <w:sz w:val="30"/>
        </w:rPr>
      </w:pPr>
    </w:p>
    <w:p>
      <w:pPr>
        <w:tabs>
          <w:tab w:pos="4128" w:val="left" w:leader="none"/>
          <w:tab w:pos="8068" w:val="left" w:leader="none"/>
        </w:tabs>
        <w:spacing w:before="0"/>
        <w:ind w:left="194" w:right="0" w:firstLine="0"/>
        <w:jc w:val="left"/>
        <w:rPr>
          <w:i/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Standard</w:t>
        <w:tab/>
        <w:t>Corresponding Indian Standard</w:t>
        <w:tab/>
        <w:t>Degree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</w:p>
    <w:p>
      <w:pPr>
        <w:spacing w:before="22"/>
        <w:ind w:left="8068" w:right="0" w:firstLine="0"/>
        <w:jc w:val="left"/>
        <w:rPr>
          <w:i/>
          <w:sz w:val="24"/>
        </w:rPr>
      </w:pPr>
      <w:r>
        <w:rPr>
          <w:i/>
          <w:sz w:val="24"/>
        </w:rPr>
        <w:t>Equivalence</w:t>
      </w:r>
    </w:p>
    <w:p>
      <w:pPr>
        <w:pStyle w:val="BodyText"/>
        <w:spacing w:before="6"/>
        <w:rPr>
          <w:i/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9" w:footer="0" w:top="1460" w:bottom="280" w:left="1320" w:right="1320"/>
        </w:sectPr>
      </w:pPr>
    </w:p>
    <w:p>
      <w:pPr>
        <w:pStyle w:val="BodyText"/>
        <w:spacing w:line="237" w:lineRule="auto" w:before="93"/>
        <w:ind w:left="194"/>
        <w:jc w:val="both"/>
      </w:pPr>
      <w:r>
        <w:rPr/>
        <w:t>ISO 10993-1, Biological evaluation of</w:t>
      </w:r>
      <w:r>
        <w:rPr>
          <w:spacing w:val="1"/>
        </w:rPr>
        <w:t> </w:t>
      </w:r>
      <w:r>
        <w:rPr/>
        <w:t>medical devices — Part 1: Evaluation</w:t>
      </w:r>
      <w:r>
        <w:rPr>
          <w:spacing w:val="1"/>
        </w:rPr>
        <w:t> </w:t>
      </w:r>
      <w:r>
        <w:rPr/>
        <w:t>and testing within a risk management</w:t>
      </w:r>
      <w:r>
        <w:rPr>
          <w:spacing w:val="1"/>
        </w:rPr>
        <w:t> </w:t>
      </w:r>
      <w:r>
        <w:rPr/>
        <w:t>process</w:t>
      </w:r>
    </w:p>
    <w:p>
      <w:pPr>
        <w:pStyle w:val="BodyText"/>
        <w:spacing w:line="259" w:lineRule="auto" w:before="93"/>
        <w:ind w:left="138"/>
        <w:jc w:val="both"/>
      </w:pPr>
      <w:r>
        <w:rPr/>
        <w:br w:type="column"/>
      </w:r>
      <w:r>
        <w:rPr/>
        <w:t>IS 17932 (Part 1) : 2023, Biological</w:t>
      </w:r>
      <w:r>
        <w:rPr>
          <w:spacing w:val="1"/>
        </w:rPr>
        <w:t> </w:t>
      </w:r>
      <w:r>
        <w:rPr/>
        <w:t>evaluation of medical devices Part 1: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risk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process</w:t>
      </w:r>
    </w:p>
    <w:p>
      <w:pPr>
        <w:pStyle w:val="BodyText"/>
        <w:spacing w:before="93"/>
        <w:ind w:left="135"/>
      </w:pPr>
      <w:r>
        <w:rPr/>
        <w:br w:type="column"/>
      </w:r>
      <w:r>
        <w:rPr/>
        <w:t>Modified</w:t>
      </w:r>
    </w:p>
    <w:p>
      <w:pPr>
        <w:spacing w:after="0"/>
        <w:sectPr>
          <w:type w:val="continuous"/>
          <w:pgSz w:w="12240" w:h="15840"/>
          <w:pgMar w:top="1460" w:bottom="280" w:left="1320" w:right="1320"/>
          <w:cols w:num="3" w:equalWidth="0">
            <w:col w:w="3951" w:space="40"/>
            <w:col w:w="3903" w:space="39"/>
            <w:col w:w="1667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460" w:bottom="280" w:left="1320" w:right="1320"/>
        </w:sectPr>
      </w:pPr>
    </w:p>
    <w:p>
      <w:pPr>
        <w:pStyle w:val="BodyText"/>
        <w:spacing w:line="259" w:lineRule="auto" w:before="93"/>
        <w:ind w:left="194" w:right="1"/>
        <w:jc w:val="both"/>
      </w:pPr>
      <w:r>
        <w:rPr/>
        <w:t>ISO 10993-5, Biological evaluation of</w:t>
      </w:r>
      <w:r>
        <w:rPr>
          <w:spacing w:val="1"/>
        </w:rPr>
        <w:t> </w:t>
      </w:r>
      <w:r>
        <w:rPr/>
        <w:t>medical devices — Part 5: Tests for in</w:t>
      </w:r>
      <w:r>
        <w:rPr>
          <w:spacing w:val="1"/>
        </w:rPr>
        <w:t> </w:t>
      </w:r>
      <w:r>
        <w:rPr/>
        <w:t>vitro</w:t>
      </w:r>
      <w:r>
        <w:rPr>
          <w:spacing w:val="-1"/>
        </w:rPr>
        <w:t> </w:t>
      </w:r>
      <w:r>
        <w:rPr/>
        <w:t>cytotoxicity</w:t>
      </w:r>
    </w:p>
    <w:p>
      <w:pPr>
        <w:pStyle w:val="BodyText"/>
        <w:spacing w:line="259" w:lineRule="auto" w:before="188"/>
        <w:ind w:left="194"/>
        <w:jc w:val="both"/>
      </w:pPr>
      <w:r>
        <w:rPr>
          <w:sz w:val="22"/>
        </w:rPr>
        <w:t>ISO</w:t>
      </w:r>
      <w:r>
        <w:rPr>
          <w:spacing w:val="1"/>
          <w:sz w:val="22"/>
        </w:rPr>
        <w:t> </w:t>
      </w:r>
      <w:r>
        <w:rPr>
          <w:sz w:val="22"/>
        </w:rPr>
        <w:t>15883-1</w:t>
      </w:r>
      <w:r>
        <w:rPr>
          <w:spacing w:val="1"/>
          <w:sz w:val="22"/>
        </w:rPr>
        <w:t> </w:t>
      </w:r>
      <w:r>
        <w:rPr/>
        <w:t>Washer-disinfectors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>
          <w:spacing w:val="-1"/>
        </w:rPr>
        <w:t>Part</w:t>
      </w:r>
      <w:r>
        <w:rPr>
          <w:spacing w:val="-14"/>
        </w:rPr>
        <w:t> </w:t>
      </w:r>
      <w:r>
        <w:rPr>
          <w:spacing w:val="-1"/>
        </w:rPr>
        <w:t>1:</w:t>
      </w:r>
      <w:r>
        <w:rPr>
          <w:spacing w:val="-13"/>
        </w:rPr>
        <w:t> </w:t>
      </w:r>
      <w:r>
        <w:rPr>
          <w:spacing w:val="-1"/>
        </w:rPr>
        <w:t>General</w:t>
      </w:r>
      <w:r>
        <w:rPr>
          <w:spacing w:val="-11"/>
        </w:rPr>
        <w:t> </w:t>
      </w:r>
      <w:r>
        <w:rPr>
          <w:spacing w:val="-1"/>
        </w:rPr>
        <w:t>requirements,</w:t>
      </w:r>
      <w:r>
        <w:rPr>
          <w:spacing w:val="-12"/>
        </w:rPr>
        <w:t> </w:t>
      </w:r>
      <w:r>
        <w:rPr/>
        <w:t>terms</w:t>
      </w:r>
      <w:r>
        <w:rPr>
          <w:spacing w:val="-13"/>
        </w:rPr>
        <w:t> </w:t>
      </w:r>
      <w:r>
        <w:rPr/>
        <w:t>and</w:t>
      </w:r>
      <w:r>
        <w:rPr>
          <w:spacing w:val="-58"/>
        </w:rPr>
        <w:t> </w:t>
      </w:r>
      <w:r>
        <w:rPr/>
        <w:t>definitions</w:t>
      </w:r>
      <w:r>
        <w:rPr>
          <w:spacing w:val="-1"/>
        </w:rPr>
        <w:t> </w:t>
      </w:r>
      <w:r>
        <w:rPr/>
        <w:t>and tests</w:t>
      </w:r>
    </w:p>
    <w:p>
      <w:pPr>
        <w:pStyle w:val="BodyText"/>
        <w:spacing w:line="237" w:lineRule="auto" w:before="93"/>
        <w:ind w:left="137"/>
        <w:jc w:val="both"/>
      </w:pPr>
      <w:r>
        <w:rPr/>
        <w:br w:type="column"/>
      </w:r>
      <w:r>
        <w:rPr/>
        <w:t>IS/ISO</w:t>
      </w:r>
      <w:r>
        <w:rPr>
          <w:spacing w:val="1"/>
        </w:rPr>
        <w:t> </w:t>
      </w:r>
      <w:r>
        <w:rPr/>
        <w:t>10993-5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Devices Part</w:t>
      </w:r>
    </w:p>
    <w:p>
      <w:pPr>
        <w:pStyle w:val="BodyText"/>
        <w:spacing w:before="1"/>
        <w:ind w:left="137"/>
        <w:jc w:val="both"/>
      </w:pPr>
      <w:r>
        <w:rPr/>
        <w:t>5 Tests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vitro Cytotoxicity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75" w:lineRule="exact"/>
        <w:ind w:left="137"/>
        <w:jc w:val="both"/>
      </w:pPr>
      <w:r>
        <w:rPr/>
        <w:t>IS/ISO      </w:t>
      </w:r>
      <w:r>
        <w:rPr>
          <w:spacing w:val="48"/>
        </w:rPr>
        <w:t> </w:t>
      </w:r>
      <w:r>
        <w:rPr/>
        <w:t>15883-1:2006,      </w:t>
      </w:r>
      <w:r>
        <w:rPr>
          <w:spacing w:val="49"/>
        </w:rPr>
        <w:t> </w:t>
      </w:r>
      <w:r>
        <w:rPr/>
        <w:t>Washer</w:t>
      </w:r>
    </w:p>
    <w:p>
      <w:pPr>
        <w:pStyle w:val="BodyText"/>
        <w:spacing w:line="237" w:lineRule="auto" w:before="1"/>
        <w:ind w:left="137"/>
        <w:jc w:val="both"/>
      </w:pPr>
      <w:r>
        <w:rPr/>
        <w:t>Disinfectors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Requirements, Terms and Definitions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Tests</w:t>
      </w:r>
    </w:p>
    <w:p>
      <w:pPr>
        <w:pStyle w:val="BodyText"/>
        <w:spacing w:before="93"/>
        <w:ind w:left="136"/>
      </w:pPr>
      <w:r>
        <w:rPr/>
        <w:br w:type="column"/>
      </w:r>
      <w:r>
        <w:rPr/>
        <w:t>Identical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8"/>
        <w:ind w:left="136"/>
      </w:pPr>
      <w:r>
        <w:rPr/>
        <w:t>Identical</w:t>
      </w:r>
    </w:p>
    <w:p>
      <w:pPr>
        <w:spacing w:after="0"/>
        <w:sectPr>
          <w:type w:val="continuous"/>
          <w:pgSz w:w="12240" w:h="15840"/>
          <w:pgMar w:top="1460" w:bottom="280" w:left="1320" w:right="1320"/>
          <w:cols w:num="3" w:equalWidth="0">
            <w:col w:w="3952" w:space="40"/>
            <w:col w:w="3901" w:space="39"/>
            <w:col w:w="1668"/>
          </w:cols>
        </w:sectPr>
      </w:pPr>
    </w:p>
    <w:p>
      <w:pPr>
        <w:pStyle w:val="BodyText"/>
        <w:spacing w:line="259" w:lineRule="auto" w:before="80"/>
        <w:ind w:left="122" w:right="154"/>
        <w:jc w:val="both"/>
      </w:pPr>
      <w:r>
        <w:rPr/>
        <w:t>The standard also makes a reference to the BIS Certification Marking of the product. Details of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 given in National Annex</w:t>
      </w:r>
      <w:r>
        <w:rPr>
          <w:spacing w:val="2"/>
        </w:rPr>
        <w:t> </w:t>
      </w:r>
      <w:r>
        <w:rPr/>
        <w:t>A.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59" w:lineRule="auto"/>
        <w:ind w:left="122" w:right="144"/>
        <w:jc w:val="both"/>
      </w:pP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purpose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deciding</w:t>
      </w:r>
      <w:r>
        <w:rPr>
          <w:spacing w:val="-8"/>
        </w:rPr>
        <w:t> </w:t>
      </w:r>
      <w:r>
        <w:rPr/>
        <w:t>whether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particular</w:t>
      </w:r>
      <w:r>
        <w:rPr>
          <w:spacing w:val="-5"/>
        </w:rPr>
        <w:t> </w:t>
      </w:r>
      <w:r>
        <w:rPr/>
        <w:t>requirement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complied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final value, observed or calculated, expressing the result of a test or analysis shall be rounded off</w:t>
      </w:r>
      <w:r>
        <w:rPr>
          <w:spacing w:val="-57"/>
        </w:rPr>
        <w:t> </w:t>
      </w:r>
      <w:r>
        <w:rPr/>
        <w:t>in accordance with IS 2: 2022 ‘Rules for rounding off numerical values (</w:t>
      </w:r>
      <w:r>
        <w:rPr>
          <w:i/>
        </w:rPr>
        <w:t>Second Revision</w:t>
      </w:r>
      <w:r>
        <w:rPr/>
        <w:t>). The</w:t>
      </w:r>
      <w:r>
        <w:rPr>
          <w:spacing w:val="1"/>
        </w:rPr>
        <w:t> </w:t>
      </w:r>
      <w:r>
        <w:rPr/>
        <w:t>number of significant places retained in the rounded off value should be same as that of the</w:t>
      </w:r>
      <w:r>
        <w:rPr>
          <w:spacing w:val="1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in this standard.</w:t>
      </w:r>
    </w:p>
    <w:p>
      <w:pPr>
        <w:spacing w:after="0" w:line="259" w:lineRule="auto"/>
        <w:jc w:val="both"/>
        <w:sectPr>
          <w:pgSz w:w="12240" w:h="15840"/>
          <w:pgMar w:header="729" w:footer="0" w:top="1460" w:bottom="280" w:left="1320" w:right="1320"/>
        </w:sectPr>
      </w:pPr>
    </w:p>
    <w:p>
      <w:pPr>
        <w:pStyle w:val="Heading2"/>
        <w:spacing w:before="84"/>
        <w:ind w:left="1232" w:right="1239"/>
        <w:jc w:val="center"/>
      </w:pPr>
      <w:r>
        <w:rPr/>
        <w:t>NATIONAL</w:t>
      </w:r>
      <w:r>
        <w:rPr>
          <w:spacing w:val="-3"/>
        </w:rPr>
        <w:t> </w:t>
      </w:r>
      <w:r>
        <w:rPr/>
        <w:t>ANNEX</w:t>
      </w:r>
      <w:r>
        <w:rPr>
          <w:spacing w:val="-1"/>
        </w:rPr>
        <w:t> </w:t>
      </w:r>
      <w:r>
        <w:rPr/>
        <w:t>A</w:t>
      </w:r>
    </w:p>
    <w:p>
      <w:pPr>
        <w:spacing w:before="22"/>
        <w:ind w:left="3770" w:right="3774" w:firstLine="0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National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Foreword</w:t>
      </w:r>
      <w:r>
        <w:rPr>
          <w:sz w:val="24"/>
        </w:rPr>
        <w:t>)</w:t>
      </w:r>
    </w:p>
    <w:p>
      <w:pPr>
        <w:pStyle w:val="BodyText"/>
        <w:spacing w:before="9"/>
        <w:rPr>
          <w:sz w:val="28"/>
        </w:rPr>
      </w:pPr>
    </w:p>
    <w:p>
      <w:pPr>
        <w:pStyle w:val="Heading2"/>
        <w:jc w:val="both"/>
      </w:pPr>
      <w:r>
        <w:rPr/>
        <w:t>A-1</w:t>
      </w:r>
      <w:r>
        <w:rPr>
          <w:spacing w:val="-5"/>
        </w:rPr>
        <w:t> </w:t>
      </w:r>
      <w:r>
        <w:rPr/>
        <w:t>BIS</w:t>
      </w:r>
      <w:r>
        <w:rPr>
          <w:spacing w:val="-8"/>
        </w:rPr>
        <w:t> </w:t>
      </w:r>
      <w:r>
        <w:rPr/>
        <w:t>CERTIFICATION</w:t>
      </w:r>
      <w:r>
        <w:rPr>
          <w:spacing w:val="-2"/>
        </w:rPr>
        <w:t> </w:t>
      </w:r>
      <w:r>
        <w:rPr/>
        <w:t>MARKING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ind w:left="122" w:right="117" w:hanging="10"/>
        <w:jc w:val="both"/>
      </w:pPr>
      <w:r>
        <w:rPr/>
        <w:t>The product(s) conforming to the requirements of this standard may be certified as per the</w:t>
      </w:r>
      <w:r>
        <w:rPr>
          <w:spacing w:val="1"/>
        </w:rPr>
        <w:t> </w:t>
      </w:r>
      <w:r>
        <w:rPr/>
        <w:t>conformity</w:t>
      </w:r>
      <w:r>
        <w:rPr>
          <w:spacing w:val="-8"/>
        </w:rPr>
        <w:t> </w:t>
      </w:r>
      <w:r>
        <w:rPr/>
        <w:t>assessment</w:t>
      </w:r>
      <w:r>
        <w:rPr>
          <w:spacing w:val="-5"/>
        </w:rPr>
        <w:t> </w:t>
      </w:r>
      <w:r>
        <w:rPr/>
        <w:t>schemes</w:t>
      </w:r>
      <w:r>
        <w:rPr>
          <w:spacing w:val="-5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provisions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>
          <w:i/>
        </w:rPr>
        <w:t>Bureau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5"/>
        </w:rPr>
        <w:t> </w:t>
      </w:r>
      <w:r>
        <w:rPr>
          <w:i/>
        </w:rPr>
        <w:t>Indian</w:t>
      </w:r>
      <w:r>
        <w:rPr>
          <w:i/>
          <w:spacing w:val="-5"/>
        </w:rPr>
        <w:t> </w:t>
      </w:r>
      <w:r>
        <w:rPr>
          <w:i/>
        </w:rPr>
        <w:t>Standards</w:t>
      </w:r>
      <w:r>
        <w:rPr>
          <w:i/>
          <w:spacing w:val="-5"/>
        </w:rPr>
        <w:t> </w:t>
      </w:r>
      <w:r>
        <w:rPr>
          <w:i/>
        </w:rPr>
        <w:t>Act,</w:t>
      </w:r>
      <w:r>
        <w:rPr>
          <w:i/>
          <w:spacing w:val="-5"/>
        </w:rPr>
        <w:t> </w:t>
      </w:r>
      <w:r>
        <w:rPr>
          <w:i/>
        </w:rPr>
        <w:t>2016</w:t>
      </w:r>
      <w:r>
        <w:rPr>
          <w:i/>
          <w:spacing w:val="-57"/>
        </w:rPr>
        <w:t> </w:t>
      </w:r>
      <w:r>
        <w:rPr/>
        <w:t>and the Rules and Regulations framed thereunder, and the product(s) may be marked with the</w:t>
      </w:r>
      <w:r>
        <w:rPr>
          <w:spacing w:val="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Mark.</w:t>
      </w:r>
    </w:p>
    <w:sectPr>
      <w:pgSz w:w="12240" w:h="15840"/>
      <w:pgMar w:header="729" w:footer="0" w:top="146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Nirmala UI">
    <w:altName w:val="Nirmala UI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1.630005pt;margin-top:35.46664pt;width:130.35pt;height:30.05pt;mso-position-horizontal-relative:page;mso-position-vertical-relative:page;z-index:-15784960" type="#_x0000_t202" filled="false" stroked="false">
          <v:textbox inset="0,0,0,0">
            <w:txbxContent>
              <w:p>
                <w:pPr>
                  <w:spacing w:line="256" w:lineRule="auto" w:before="10"/>
                  <w:ind w:left="752" w:right="0" w:hanging="732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IS XXXXX (Part 5):2023</w:t>
                </w:r>
                <w:r>
                  <w:rPr>
                    <w:b/>
                    <w:spacing w:val="-58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ISO</w:t>
                </w:r>
                <w:r>
                  <w:rPr>
                    <w:b/>
                    <w:spacing w:val="-1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15883-5:2021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842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32" w:right="1254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2" w:right="15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2023-10-13T04:46:31Z</dcterms:created>
  <dcterms:modified xsi:type="dcterms:W3CDTF">2023-10-13T04:46:31Z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2023-10-13T00:00:00Z</vt:filetime>
  </property>
</Properties>
</file>