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0F797" w14:textId="77777777" w:rsidR="00B3436C" w:rsidRPr="00BB2613" w:rsidRDefault="00B3436C" w:rsidP="00B3436C">
      <w:pPr>
        <w:spacing w:after="120" w:line="259" w:lineRule="auto"/>
        <w:ind w:left="0" w:firstLine="0"/>
        <w:jc w:val="left"/>
        <w:rPr>
          <w:bCs/>
        </w:rPr>
      </w:pPr>
      <w:bookmarkStart w:id="0" w:name="_Hlk154133536"/>
    </w:p>
    <w:p w14:paraId="4A97388B" w14:textId="77777777" w:rsidR="00B3436C" w:rsidRDefault="00B3436C" w:rsidP="00B3436C">
      <w:pPr>
        <w:pStyle w:val="Heading1"/>
        <w:rPr>
          <w:b w:val="0"/>
          <w:bCs/>
          <w:i/>
          <w:iCs/>
          <w:sz w:val="24"/>
          <w:szCs w:val="24"/>
        </w:rPr>
      </w:pPr>
      <w:r w:rsidRPr="009D1D9F">
        <w:rPr>
          <w:b w:val="0"/>
          <w:bCs/>
          <w:i/>
          <w:iCs/>
          <w:sz w:val="24"/>
          <w:szCs w:val="24"/>
          <w:cs/>
          <w:lang w:bidi="hi-IN"/>
        </w:rPr>
        <w:t>भारतीय</w:t>
      </w:r>
      <w:r w:rsidRPr="009D1D9F">
        <w:rPr>
          <w:b w:val="0"/>
          <w:bCs/>
          <w:i/>
          <w:iCs/>
          <w:sz w:val="24"/>
          <w:szCs w:val="24"/>
        </w:rPr>
        <w:t xml:space="preserve"> </w:t>
      </w:r>
      <w:r w:rsidRPr="009D1D9F">
        <w:rPr>
          <w:b w:val="0"/>
          <w:bCs/>
          <w:i/>
          <w:iCs/>
          <w:sz w:val="24"/>
          <w:szCs w:val="24"/>
          <w:cs/>
          <w:lang w:bidi="hi-IN"/>
        </w:rPr>
        <w:t>मानक</w:t>
      </w:r>
      <w:r w:rsidRPr="009D1D9F">
        <w:rPr>
          <w:b w:val="0"/>
          <w:bCs/>
          <w:i/>
          <w:iCs/>
          <w:sz w:val="24"/>
          <w:szCs w:val="24"/>
        </w:rPr>
        <w:t xml:space="preserve"> </w:t>
      </w:r>
    </w:p>
    <w:p w14:paraId="2660FA6C" w14:textId="77777777" w:rsidR="00B3436C" w:rsidRPr="009D1D9F" w:rsidRDefault="00B3436C" w:rsidP="00B3436C">
      <w:pPr>
        <w:pStyle w:val="Heading1"/>
        <w:rPr>
          <w:b w:val="0"/>
          <w:bCs/>
          <w:i/>
          <w:iCs/>
          <w:sz w:val="24"/>
          <w:szCs w:val="24"/>
        </w:rPr>
      </w:pPr>
      <w:r>
        <w:rPr>
          <w:b w:val="0"/>
          <w:bCs/>
          <w:i/>
          <w:iCs/>
          <w:sz w:val="24"/>
          <w:szCs w:val="24"/>
        </w:rPr>
        <w:t xml:space="preserve"> </w:t>
      </w:r>
    </w:p>
    <w:p w14:paraId="041E3FC9" w14:textId="74286C26" w:rsidR="00D34B99" w:rsidRDefault="00F425AA" w:rsidP="00B3436C">
      <w:pPr>
        <w:spacing w:line="259" w:lineRule="auto"/>
        <w:ind w:left="0" w:firstLine="0"/>
        <w:jc w:val="center"/>
        <w:rPr>
          <w:rFonts w:ascii="Nirmala UI" w:hAnsi="Nirmala UI" w:cs="Nirmala UI"/>
          <w:b/>
          <w:bCs/>
          <w:sz w:val="32"/>
          <w:szCs w:val="32"/>
          <w:lang w:bidi="hi-IN"/>
        </w:rPr>
      </w:pPr>
      <w:proofErr w:type="spellStart"/>
      <w:r w:rsidRPr="00F425AA">
        <w:rPr>
          <w:rFonts w:ascii="Nirmala UI" w:hAnsi="Nirmala UI" w:cs="Nirmala UI" w:hint="cs"/>
          <w:b/>
          <w:bCs/>
          <w:sz w:val="32"/>
          <w:szCs w:val="32"/>
          <w:lang w:bidi="hi-IN"/>
        </w:rPr>
        <w:t>नेत्र</w:t>
      </w:r>
      <w:proofErr w:type="spellEnd"/>
      <w:r w:rsidRPr="00F425AA">
        <w:rPr>
          <w:rFonts w:ascii="Nirmala UI" w:hAnsi="Nirmala UI" w:cs="Nirmala UI"/>
          <w:b/>
          <w:bCs/>
          <w:sz w:val="32"/>
          <w:szCs w:val="32"/>
          <w:lang w:bidi="hi-IN"/>
        </w:rPr>
        <w:t xml:space="preserve"> </w:t>
      </w:r>
      <w:proofErr w:type="spellStart"/>
      <w:r w:rsidRPr="00F425AA">
        <w:rPr>
          <w:rFonts w:ascii="Nirmala UI" w:hAnsi="Nirmala UI" w:cs="Nirmala UI" w:hint="cs"/>
          <w:b/>
          <w:bCs/>
          <w:sz w:val="32"/>
          <w:szCs w:val="32"/>
          <w:lang w:bidi="hi-IN"/>
        </w:rPr>
        <w:t>संबंधी</w:t>
      </w:r>
      <w:proofErr w:type="spellEnd"/>
      <w:r w:rsidRPr="00F425AA">
        <w:rPr>
          <w:rFonts w:ascii="Nirmala UI" w:hAnsi="Nirmala UI" w:cs="Nirmala UI"/>
          <w:b/>
          <w:bCs/>
          <w:sz w:val="32"/>
          <w:szCs w:val="32"/>
          <w:lang w:bidi="hi-IN"/>
        </w:rPr>
        <w:t xml:space="preserve"> </w:t>
      </w:r>
      <w:proofErr w:type="spellStart"/>
      <w:r w:rsidRPr="00F425AA">
        <w:rPr>
          <w:rFonts w:ascii="Nirmala UI" w:hAnsi="Nirmala UI" w:cs="Nirmala UI" w:hint="cs"/>
          <w:b/>
          <w:bCs/>
          <w:sz w:val="32"/>
          <w:szCs w:val="32"/>
          <w:lang w:bidi="hi-IN"/>
        </w:rPr>
        <w:t>प्रकाशिकी</w:t>
      </w:r>
      <w:proofErr w:type="spellEnd"/>
      <w:r w:rsidRPr="00F425AA">
        <w:rPr>
          <w:rFonts w:ascii="Nirmala UI" w:hAnsi="Nirmala UI" w:cs="Nirmala UI"/>
          <w:b/>
          <w:bCs/>
          <w:sz w:val="32"/>
          <w:szCs w:val="32"/>
          <w:lang w:bidi="hi-IN"/>
        </w:rPr>
        <w:t xml:space="preserve"> — </w:t>
      </w:r>
      <w:proofErr w:type="spellStart"/>
      <w:r w:rsidRPr="00F425AA">
        <w:rPr>
          <w:rFonts w:ascii="Nirmala UI" w:hAnsi="Nirmala UI" w:cs="Nirmala UI" w:hint="cs"/>
          <w:b/>
          <w:bCs/>
          <w:sz w:val="32"/>
          <w:szCs w:val="32"/>
          <w:lang w:bidi="hi-IN"/>
        </w:rPr>
        <w:t>माउंटेड</w:t>
      </w:r>
      <w:proofErr w:type="spellEnd"/>
      <w:r w:rsidRPr="00F425AA">
        <w:rPr>
          <w:rFonts w:ascii="Nirmala UI" w:hAnsi="Nirmala UI" w:cs="Nirmala UI"/>
          <w:b/>
          <w:bCs/>
          <w:sz w:val="32"/>
          <w:szCs w:val="32"/>
          <w:lang w:bidi="hi-IN"/>
        </w:rPr>
        <w:t xml:space="preserve"> </w:t>
      </w:r>
      <w:proofErr w:type="spellStart"/>
      <w:r w:rsidRPr="00F425AA">
        <w:rPr>
          <w:rFonts w:ascii="Nirmala UI" w:hAnsi="Nirmala UI" w:cs="Nirmala UI" w:hint="cs"/>
          <w:b/>
          <w:bCs/>
          <w:sz w:val="32"/>
          <w:szCs w:val="32"/>
          <w:lang w:bidi="hi-IN"/>
        </w:rPr>
        <w:t>चश्मे</w:t>
      </w:r>
      <w:proofErr w:type="spellEnd"/>
      <w:r w:rsidRPr="00F425AA">
        <w:rPr>
          <w:rFonts w:ascii="Nirmala UI" w:hAnsi="Nirmala UI" w:cs="Nirmala UI"/>
          <w:b/>
          <w:bCs/>
          <w:sz w:val="32"/>
          <w:szCs w:val="32"/>
          <w:lang w:bidi="hi-IN"/>
        </w:rPr>
        <w:t xml:space="preserve"> </w:t>
      </w:r>
      <w:proofErr w:type="spellStart"/>
      <w:r w:rsidRPr="00F425AA">
        <w:rPr>
          <w:rFonts w:ascii="Nirmala UI" w:hAnsi="Nirmala UI" w:cs="Nirmala UI" w:hint="cs"/>
          <w:b/>
          <w:bCs/>
          <w:sz w:val="32"/>
          <w:szCs w:val="32"/>
          <w:lang w:bidi="hi-IN"/>
        </w:rPr>
        <w:t>के</w:t>
      </w:r>
      <w:proofErr w:type="spellEnd"/>
      <w:r w:rsidRPr="00F425AA">
        <w:rPr>
          <w:rFonts w:ascii="Nirmala UI" w:hAnsi="Nirmala UI" w:cs="Nirmala UI"/>
          <w:b/>
          <w:bCs/>
          <w:sz w:val="32"/>
          <w:szCs w:val="32"/>
          <w:lang w:bidi="hi-IN"/>
        </w:rPr>
        <w:t xml:space="preserve"> </w:t>
      </w:r>
      <w:proofErr w:type="spellStart"/>
      <w:r w:rsidRPr="00F425AA">
        <w:rPr>
          <w:rFonts w:ascii="Nirmala UI" w:hAnsi="Nirmala UI" w:cs="Nirmala UI" w:hint="cs"/>
          <w:b/>
          <w:bCs/>
          <w:sz w:val="32"/>
          <w:szCs w:val="32"/>
          <w:lang w:bidi="hi-IN"/>
        </w:rPr>
        <w:t>लेंस</w:t>
      </w:r>
      <w:proofErr w:type="spellEnd"/>
    </w:p>
    <w:p w14:paraId="544FB068" w14:textId="77777777" w:rsidR="00F425AA" w:rsidRDefault="00F425AA" w:rsidP="00B3436C">
      <w:pPr>
        <w:spacing w:line="259" w:lineRule="auto"/>
        <w:ind w:left="0" w:firstLine="0"/>
        <w:jc w:val="center"/>
        <w:rPr>
          <w:rFonts w:ascii="Nirmala UI" w:hAnsi="Nirmala UI" w:cs="Nirmala UI"/>
          <w:b/>
          <w:bCs/>
          <w:sz w:val="32"/>
          <w:szCs w:val="32"/>
        </w:rPr>
      </w:pPr>
    </w:p>
    <w:p w14:paraId="66F710FA" w14:textId="77777777" w:rsidR="00B3436C" w:rsidRDefault="00B3436C" w:rsidP="00B3436C">
      <w:pPr>
        <w:rPr>
          <w:rFonts w:eastAsia="Nirmala UI"/>
          <w:bCs/>
        </w:rPr>
      </w:pPr>
    </w:p>
    <w:p w14:paraId="2F534048" w14:textId="77777777" w:rsidR="00B3436C" w:rsidRPr="00BB2613" w:rsidRDefault="00B3436C" w:rsidP="00B3436C">
      <w:pPr>
        <w:rPr>
          <w:rFonts w:eastAsia="Nirmala UI"/>
          <w:bCs/>
        </w:rPr>
      </w:pPr>
    </w:p>
    <w:p w14:paraId="27D5CE7E" w14:textId="77777777" w:rsidR="00B3436C" w:rsidRPr="00BB2613" w:rsidRDefault="00B3436C" w:rsidP="00B3436C">
      <w:pPr>
        <w:rPr>
          <w:rFonts w:eastAsia="Nirmala UI"/>
          <w:bCs/>
        </w:rPr>
      </w:pPr>
    </w:p>
    <w:p w14:paraId="505F846D" w14:textId="77777777" w:rsidR="00B3436C" w:rsidRPr="00BB2613" w:rsidRDefault="00B3436C" w:rsidP="00B3436C">
      <w:pPr>
        <w:pStyle w:val="Heading2"/>
        <w:rPr>
          <w:b w:val="0"/>
          <w:bCs/>
        </w:rPr>
      </w:pPr>
      <w:r w:rsidRPr="00BB2613">
        <w:rPr>
          <w:b w:val="0"/>
          <w:bCs/>
        </w:rPr>
        <w:t xml:space="preserve">Indian Standard </w:t>
      </w:r>
    </w:p>
    <w:p w14:paraId="7B681C77" w14:textId="77777777" w:rsidR="00B3436C" w:rsidRPr="00BB2613" w:rsidRDefault="00B3436C" w:rsidP="00B3436C">
      <w:pPr>
        <w:spacing w:line="259" w:lineRule="auto"/>
        <w:ind w:left="133" w:firstLine="0"/>
        <w:jc w:val="center"/>
        <w:rPr>
          <w:bCs/>
        </w:rPr>
      </w:pPr>
      <w:r w:rsidRPr="00BB2613">
        <w:rPr>
          <w:bCs/>
          <w:i/>
          <w:sz w:val="28"/>
        </w:rPr>
        <w:t xml:space="preserve"> </w:t>
      </w:r>
    </w:p>
    <w:p w14:paraId="5D7F29CD" w14:textId="50A951BB" w:rsidR="00B3436C" w:rsidRDefault="00F425AA" w:rsidP="00B3436C">
      <w:pPr>
        <w:spacing w:line="259" w:lineRule="auto"/>
        <w:ind w:left="0" w:firstLine="0"/>
        <w:jc w:val="center"/>
        <w:rPr>
          <w:bCs/>
          <w:sz w:val="28"/>
        </w:rPr>
      </w:pPr>
      <w:r w:rsidRPr="00F425AA">
        <w:rPr>
          <w:bCs/>
          <w:sz w:val="28"/>
        </w:rPr>
        <w:t>Ophthalmic optics — Mounted spectacle lenses</w:t>
      </w:r>
    </w:p>
    <w:p w14:paraId="06992FBC" w14:textId="77777777" w:rsidR="00F425AA" w:rsidRDefault="00F425AA" w:rsidP="00B3436C">
      <w:pPr>
        <w:spacing w:line="259" w:lineRule="auto"/>
        <w:ind w:left="0" w:firstLine="0"/>
        <w:jc w:val="center"/>
        <w:rPr>
          <w:bCs/>
          <w:sz w:val="28"/>
        </w:rPr>
      </w:pPr>
    </w:p>
    <w:p w14:paraId="53110598" w14:textId="77777777" w:rsidR="00B3436C" w:rsidRDefault="00B3436C" w:rsidP="00B3436C">
      <w:pPr>
        <w:spacing w:line="259" w:lineRule="auto"/>
        <w:ind w:left="0" w:firstLine="0"/>
        <w:jc w:val="center"/>
        <w:rPr>
          <w:bCs/>
          <w:sz w:val="28"/>
        </w:rPr>
      </w:pPr>
    </w:p>
    <w:p w14:paraId="4F108756" w14:textId="77777777" w:rsidR="00B3436C" w:rsidRPr="00BB2613" w:rsidRDefault="00B3436C" w:rsidP="00B3436C">
      <w:pPr>
        <w:spacing w:line="259" w:lineRule="auto"/>
        <w:ind w:left="0" w:firstLine="0"/>
        <w:jc w:val="center"/>
        <w:rPr>
          <w:bCs/>
          <w:sz w:val="28"/>
        </w:rPr>
      </w:pPr>
    </w:p>
    <w:p w14:paraId="4824D664" w14:textId="77777777" w:rsidR="00B3436C" w:rsidRPr="00BB2613" w:rsidRDefault="00B3436C" w:rsidP="00B3436C">
      <w:pPr>
        <w:spacing w:line="259" w:lineRule="auto"/>
        <w:ind w:left="0" w:firstLine="0"/>
        <w:jc w:val="center"/>
        <w:rPr>
          <w:bCs/>
          <w:sz w:val="28"/>
        </w:rPr>
      </w:pPr>
    </w:p>
    <w:p w14:paraId="4841A699" w14:textId="77777777" w:rsidR="00B3436C" w:rsidRPr="00BB2613" w:rsidRDefault="00B3436C" w:rsidP="00B3436C">
      <w:pPr>
        <w:spacing w:line="259" w:lineRule="auto"/>
        <w:ind w:left="215" w:right="144"/>
        <w:jc w:val="center"/>
        <w:rPr>
          <w:bCs/>
        </w:rPr>
      </w:pPr>
      <w:r w:rsidRPr="00BB2613">
        <w:rPr>
          <w:bCs/>
        </w:rPr>
        <w:t xml:space="preserve">[ICS </w:t>
      </w:r>
      <w:r w:rsidRPr="002A23A1">
        <w:rPr>
          <w:bCs/>
        </w:rPr>
        <w:t>11.040.70</w:t>
      </w:r>
      <w:r w:rsidRPr="00BB2613">
        <w:rPr>
          <w:bCs/>
        </w:rPr>
        <w:t xml:space="preserve">] </w:t>
      </w:r>
    </w:p>
    <w:p w14:paraId="19A1277B" w14:textId="77777777" w:rsidR="00B3436C" w:rsidRPr="00BB2613" w:rsidRDefault="00B3436C" w:rsidP="00B3436C">
      <w:pPr>
        <w:spacing w:after="209" w:line="259" w:lineRule="auto"/>
        <w:ind w:left="171" w:firstLine="0"/>
        <w:jc w:val="left"/>
        <w:rPr>
          <w:bCs/>
        </w:rPr>
      </w:pPr>
      <w:r w:rsidRPr="00BB2613">
        <w:rPr>
          <w:bCs/>
          <w:sz w:val="2"/>
        </w:rPr>
        <w:t xml:space="preserve"> </w:t>
      </w:r>
    </w:p>
    <w:p w14:paraId="567462BD" w14:textId="77777777" w:rsidR="00B3436C" w:rsidRDefault="00B3436C" w:rsidP="00B3436C">
      <w:pPr>
        <w:spacing w:after="78"/>
        <w:ind w:left="0" w:firstLine="0"/>
        <w:jc w:val="left"/>
      </w:pPr>
    </w:p>
    <w:p w14:paraId="49FCCA52" w14:textId="77777777" w:rsidR="00B3436C" w:rsidRDefault="00B3436C" w:rsidP="00B3436C">
      <w:pPr>
        <w:spacing w:after="78"/>
        <w:ind w:left="0" w:firstLine="0"/>
        <w:jc w:val="left"/>
      </w:pPr>
    </w:p>
    <w:p w14:paraId="01EA8795" w14:textId="77777777" w:rsidR="00B3436C" w:rsidRDefault="00B3436C" w:rsidP="00B3436C">
      <w:pPr>
        <w:spacing w:after="78"/>
        <w:ind w:left="0" w:firstLine="0"/>
        <w:jc w:val="left"/>
      </w:pPr>
    </w:p>
    <w:p w14:paraId="1D5FFFCD" w14:textId="77777777" w:rsidR="00B3436C" w:rsidRDefault="00B3436C" w:rsidP="00B3436C">
      <w:pPr>
        <w:spacing w:after="78"/>
        <w:ind w:left="0" w:firstLine="0"/>
        <w:jc w:val="left"/>
      </w:pPr>
    </w:p>
    <w:p w14:paraId="06E51673" w14:textId="77777777" w:rsidR="00B3436C" w:rsidRDefault="00B3436C" w:rsidP="00B3436C">
      <w:pPr>
        <w:spacing w:after="78"/>
        <w:ind w:left="0" w:firstLine="0"/>
        <w:jc w:val="left"/>
      </w:pPr>
    </w:p>
    <w:p w14:paraId="1D9ADC06" w14:textId="77777777" w:rsidR="00B3436C" w:rsidRDefault="00B3436C" w:rsidP="00B3436C">
      <w:pPr>
        <w:spacing w:after="78"/>
        <w:ind w:left="0" w:firstLine="0"/>
        <w:jc w:val="left"/>
      </w:pPr>
    </w:p>
    <w:p w14:paraId="58F78607" w14:textId="77777777" w:rsidR="00B3436C" w:rsidRDefault="00B3436C" w:rsidP="00B3436C">
      <w:pPr>
        <w:spacing w:after="78"/>
        <w:ind w:left="0" w:firstLine="0"/>
        <w:jc w:val="left"/>
      </w:pPr>
    </w:p>
    <w:p w14:paraId="2ADDAF0F" w14:textId="77777777" w:rsidR="00B3436C" w:rsidRDefault="00B3436C" w:rsidP="00B3436C">
      <w:pPr>
        <w:spacing w:after="78"/>
        <w:ind w:left="0" w:firstLine="0"/>
        <w:jc w:val="left"/>
      </w:pPr>
    </w:p>
    <w:p w14:paraId="1591973C" w14:textId="77777777" w:rsidR="00B3436C" w:rsidRDefault="00B3436C" w:rsidP="00B3436C">
      <w:pPr>
        <w:spacing w:after="78"/>
        <w:ind w:left="0" w:firstLine="0"/>
        <w:jc w:val="left"/>
      </w:pPr>
    </w:p>
    <w:p w14:paraId="0D63A8E6" w14:textId="77777777" w:rsidR="00B3436C" w:rsidRDefault="00B3436C" w:rsidP="00B3436C">
      <w:pPr>
        <w:spacing w:after="78"/>
        <w:ind w:left="0" w:firstLine="0"/>
        <w:jc w:val="left"/>
      </w:pPr>
    </w:p>
    <w:p w14:paraId="435339B3" w14:textId="77777777" w:rsidR="00B3436C" w:rsidRDefault="00B3436C" w:rsidP="00B3436C">
      <w:pPr>
        <w:spacing w:after="78"/>
        <w:ind w:left="0" w:firstLine="0"/>
        <w:jc w:val="left"/>
      </w:pPr>
    </w:p>
    <w:p w14:paraId="6AD96011" w14:textId="77777777" w:rsidR="00B3436C" w:rsidRDefault="00B3436C" w:rsidP="00B3436C">
      <w:pPr>
        <w:spacing w:after="78"/>
        <w:ind w:left="0" w:firstLine="0"/>
        <w:jc w:val="left"/>
      </w:pPr>
    </w:p>
    <w:p w14:paraId="3047566D" w14:textId="77777777" w:rsidR="00B3436C" w:rsidRDefault="00B3436C" w:rsidP="00B3436C">
      <w:pPr>
        <w:spacing w:after="78"/>
        <w:ind w:left="0" w:firstLine="0"/>
        <w:jc w:val="left"/>
      </w:pPr>
    </w:p>
    <w:p w14:paraId="3BCB5CF4" w14:textId="77777777" w:rsidR="00B3436C" w:rsidRDefault="00B3436C" w:rsidP="00B3436C">
      <w:pPr>
        <w:spacing w:after="78"/>
        <w:ind w:left="0" w:firstLine="0"/>
        <w:jc w:val="left"/>
      </w:pPr>
    </w:p>
    <w:p w14:paraId="03B9CFD1" w14:textId="77777777" w:rsidR="00407D6C" w:rsidRDefault="00407D6C" w:rsidP="00B3436C">
      <w:pPr>
        <w:spacing w:after="78"/>
        <w:ind w:left="0" w:firstLine="0"/>
        <w:jc w:val="left"/>
        <w:rPr>
          <w:color w:val="090909"/>
        </w:rPr>
      </w:pPr>
    </w:p>
    <w:p w14:paraId="097B16DC" w14:textId="77777777" w:rsidR="00F425AA" w:rsidRDefault="00F425AA">
      <w:pPr>
        <w:spacing w:after="160" w:line="259" w:lineRule="auto"/>
        <w:ind w:left="0" w:firstLine="0"/>
        <w:jc w:val="left"/>
        <w:rPr>
          <w:color w:val="090909"/>
        </w:rPr>
      </w:pPr>
      <w:r>
        <w:rPr>
          <w:color w:val="090909"/>
        </w:rPr>
        <w:br w:type="page"/>
      </w:r>
    </w:p>
    <w:p w14:paraId="0A6629DE" w14:textId="0171E56C" w:rsidR="00B3436C" w:rsidRDefault="00B3436C" w:rsidP="00B3436C">
      <w:pPr>
        <w:spacing w:after="78"/>
        <w:ind w:left="0" w:firstLine="0"/>
        <w:jc w:val="left"/>
        <w:rPr>
          <w:color w:val="090909"/>
        </w:rPr>
      </w:pPr>
      <w:r w:rsidRPr="002A23A1">
        <w:rPr>
          <w:color w:val="090909"/>
        </w:rPr>
        <w:lastRenderedPageBreak/>
        <w:t>Ophthalmic Instruments and Appliances Sectional Committee, MHD 05</w:t>
      </w:r>
    </w:p>
    <w:p w14:paraId="0C60F22F" w14:textId="77777777" w:rsidR="00B3436C" w:rsidRPr="002A23A1" w:rsidRDefault="00B3436C" w:rsidP="00B3436C">
      <w:pPr>
        <w:spacing w:after="78"/>
        <w:ind w:left="0" w:firstLine="0"/>
        <w:jc w:val="left"/>
        <w:rPr>
          <w:color w:val="090909"/>
        </w:rPr>
      </w:pPr>
    </w:p>
    <w:p w14:paraId="7E37A1F4" w14:textId="77777777" w:rsidR="00B3436C" w:rsidRDefault="00B3436C" w:rsidP="00B3436C">
      <w:pPr>
        <w:spacing w:after="78"/>
        <w:ind w:left="0" w:firstLine="0"/>
        <w:jc w:val="left"/>
      </w:pPr>
      <w:r>
        <w:t>NATIONAL FOREWORD</w:t>
      </w:r>
    </w:p>
    <w:p w14:paraId="374D0647" w14:textId="77777777" w:rsidR="00B3436C" w:rsidRDefault="00B3436C" w:rsidP="00B3436C">
      <w:pPr>
        <w:spacing w:after="78"/>
        <w:ind w:left="0" w:firstLine="0"/>
        <w:jc w:val="left"/>
      </w:pPr>
    </w:p>
    <w:p w14:paraId="20F6965B" w14:textId="4EE335C9" w:rsidR="00B3436C" w:rsidRDefault="00B3436C" w:rsidP="00755CDD">
      <w:pPr>
        <w:spacing w:line="259" w:lineRule="auto"/>
        <w:ind w:left="0" w:firstLine="0"/>
        <w:rPr>
          <w:szCs w:val="24"/>
        </w:rPr>
      </w:pPr>
      <w:r>
        <w:rPr>
          <w:szCs w:val="24"/>
        </w:rPr>
        <w:t xml:space="preserve">This Indian Standard which is identical with </w:t>
      </w:r>
      <w:r w:rsidR="00F425AA" w:rsidRPr="00F425AA">
        <w:rPr>
          <w:szCs w:val="24"/>
        </w:rPr>
        <w:t>ISO 21987:2017</w:t>
      </w:r>
      <w:r>
        <w:rPr>
          <w:szCs w:val="24"/>
        </w:rPr>
        <w:t>, ‘</w:t>
      </w:r>
      <w:r w:rsidR="00F425AA" w:rsidRPr="00F425AA">
        <w:rPr>
          <w:szCs w:val="24"/>
        </w:rPr>
        <w:t>Ophthalmic optics — Mounted spectacle lenses</w:t>
      </w:r>
      <w:r>
        <w:rPr>
          <w:szCs w:val="24"/>
        </w:rPr>
        <w:t xml:space="preserve">’ issued by the International Organization for Standardization was adopted by Bureau of Indian Standards on the recommendation of the </w:t>
      </w:r>
      <w:r w:rsidR="009F58C5" w:rsidRPr="002A23A1">
        <w:rPr>
          <w:color w:val="090909"/>
        </w:rPr>
        <w:t>Ophthalmic Instruments and Appliances Sectional Committee</w:t>
      </w:r>
      <w:r w:rsidR="00416E99">
        <w:rPr>
          <w:color w:val="090909"/>
        </w:rPr>
        <w:t xml:space="preserve"> </w:t>
      </w:r>
      <w:r>
        <w:rPr>
          <w:szCs w:val="24"/>
        </w:rPr>
        <w:t>and approval of the Medical Equipment and Hospital Planning Division Council</w:t>
      </w:r>
      <w:r w:rsidR="008A5A78">
        <w:rPr>
          <w:szCs w:val="24"/>
        </w:rPr>
        <w:t>.</w:t>
      </w:r>
    </w:p>
    <w:p w14:paraId="2EF2DC41" w14:textId="77777777" w:rsidR="00B3436C" w:rsidRDefault="00B3436C" w:rsidP="00B3436C">
      <w:pPr>
        <w:spacing w:line="259" w:lineRule="auto"/>
        <w:ind w:left="0" w:firstLine="0"/>
        <w:jc w:val="left"/>
      </w:pPr>
      <w:r>
        <w:t xml:space="preserve"> </w:t>
      </w:r>
    </w:p>
    <w:p w14:paraId="35F8701F" w14:textId="77777777" w:rsidR="00B3436C" w:rsidRDefault="00B3436C" w:rsidP="00B3436C">
      <w:pPr>
        <w:ind w:left="10" w:right="431"/>
      </w:pPr>
      <w:r>
        <w:t xml:space="preserve">The text of ISO Standard has been approved as suitable for publication as an Indian Standard without deviations. Certain conventions are however not identical to those used in Indian Standards. Attention is particularly drawn to the following: </w:t>
      </w:r>
    </w:p>
    <w:p w14:paraId="16F22C2E" w14:textId="77777777" w:rsidR="00B3436C" w:rsidRDefault="00B3436C" w:rsidP="00B3436C">
      <w:pPr>
        <w:spacing w:line="259" w:lineRule="auto"/>
        <w:ind w:left="0" w:firstLine="0"/>
        <w:jc w:val="left"/>
      </w:pPr>
      <w:r>
        <w:t xml:space="preserve"> </w:t>
      </w:r>
    </w:p>
    <w:p w14:paraId="6395AF29" w14:textId="77777777" w:rsidR="00B3436C" w:rsidRDefault="00B3436C" w:rsidP="00B3436C">
      <w:pPr>
        <w:numPr>
          <w:ilvl w:val="0"/>
          <w:numId w:val="1"/>
        </w:numPr>
        <w:ind w:hanging="360"/>
      </w:pPr>
      <w:r>
        <w:t xml:space="preserve">Wherever the words ‘International Standard’ appear referring to this standard, they should be read as ‘Indian Standard’. </w:t>
      </w:r>
    </w:p>
    <w:p w14:paraId="006D988E" w14:textId="77777777" w:rsidR="00B3436C" w:rsidRDefault="00B3436C" w:rsidP="00B3436C">
      <w:pPr>
        <w:spacing w:line="259" w:lineRule="auto"/>
        <w:ind w:left="0" w:firstLine="0"/>
        <w:jc w:val="left"/>
      </w:pPr>
      <w:r>
        <w:t xml:space="preserve"> </w:t>
      </w:r>
    </w:p>
    <w:p w14:paraId="07823F34" w14:textId="77777777" w:rsidR="00B3436C" w:rsidRDefault="00B3436C" w:rsidP="00B3436C">
      <w:pPr>
        <w:numPr>
          <w:ilvl w:val="0"/>
          <w:numId w:val="1"/>
        </w:numPr>
        <w:ind w:hanging="360"/>
      </w:pPr>
      <w:r>
        <w:t xml:space="preserve">Comma (,) has been used as a decimal marker while in Indian Standards, the current practice is to use a point (.) as the decimal marker. </w:t>
      </w:r>
    </w:p>
    <w:p w14:paraId="0C40823B" w14:textId="6C2C6DE0" w:rsidR="00B3436C" w:rsidRDefault="00B3436C" w:rsidP="008A5A78">
      <w:pPr>
        <w:spacing w:line="259" w:lineRule="auto"/>
        <w:ind w:left="0" w:firstLine="0"/>
        <w:jc w:val="left"/>
      </w:pPr>
      <w:r>
        <w:rPr>
          <w:sz w:val="12"/>
        </w:rPr>
        <w:t xml:space="preserve"> </w:t>
      </w:r>
    </w:p>
    <w:p w14:paraId="21D0B7E9" w14:textId="77777777" w:rsidR="00B3436C" w:rsidRDefault="00B3436C" w:rsidP="00B3436C">
      <w:pPr>
        <w:spacing w:line="240" w:lineRule="auto"/>
        <w:ind w:left="0" w:firstLine="0"/>
        <w:rPr>
          <w:szCs w:val="24"/>
        </w:rPr>
      </w:pPr>
      <w:r w:rsidRPr="003E593D">
        <w:rPr>
          <w:szCs w:val="24"/>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14:paraId="54C208E3" w14:textId="27B88FD2" w:rsidR="00F425AA" w:rsidRDefault="00B3436C" w:rsidP="00B3436C">
      <w:pPr>
        <w:spacing w:line="240" w:lineRule="auto"/>
        <w:ind w:left="0" w:firstLine="0"/>
        <w:rPr>
          <w:kern w:val="0"/>
          <w:szCs w:val="24"/>
          <w:lang w:val="en-US" w:eastAsia="en-US" w:bidi="hi-IN"/>
          <w14:ligatures w14:val="none"/>
        </w:rPr>
      </w:pPr>
      <w:r w:rsidRPr="00D30D7F">
        <w:rPr>
          <w:kern w:val="0"/>
          <w:szCs w:val="24"/>
          <w:lang w:val="en-US" w:eastAsia="en-US" w:bidi="hi-IN"/>
          <w14:ligatures w14:val="none"/>
        </w:rPr>
        <w:tab/>
      </w:r>
    </w:p>
    <w:p w14:paraId="355D5402" w14:textId="77777777" w:rsidR="00F425AA" w:rsidRDefault="00F425AA" w:rsidP="00B3436C">
      <w:pPr>
        <w:spacing w:line="240" w:lineRule="auto"/>
        <w:ind w:left="0" w:firstLine="0"/>
        <w:rPr>
          <w:kern w:val="0"/>
          <w:szCs w:val="24"/>
          <w:lang w:val="en-US" w:eastAsia="en-US" w:bidi="hi-IN"/>
          <w14:ligatures w14:val="none"/>
        </w:rPr>
      </w:pPr>
    </w:p>
    <w:tbl>
      <w:tblPr>
        <w:tblStyle w:val="TableGrid"/>
        <w:tblW w:w="9716" w:type="dxa"/>
        <w:tblInd w:w="106" w:type="dxa"/>
        <w:tblLook w:val="04A0" w:firstRow="1" w:lastRow="0" w:firstColumn="1" w:lastColumn="0" w:noHBand="0" w:noVBand="1"/>
      </w:tblPr>
      <w:tblGrid>
        <w:gridCol w:w="3288"/>
        <w:gridCol w:w="4085"/>
        <w:gridCol w:w="2343"/>
      </w:tblGrid>
      <w:tr w:rsidR="00F425AA" w14:paraId="5EA29F49" w14:textId="77777777" w:rsidTr="008C4DC6">
        <w:trPr>
          <w:trHeight w:val="579"/>
        </w:trPr>
        <w:tc>
          <w:tcPr>
            <w:tcW w:w="3288" w:type="dxa"/>
          </w:tcPr>
          <w:p w14:paraId="22627A6F" w14:textId="77777777" w:rsidR="00F425AA" w:rsidRDefault="00F425AA" w:rsidP="00AA1AFD">
            <w:pPr>
              <w:spacing w:line="259" w:lineRule="auto"/>
              <w:ind w:left="0" w:firstLine="0"/>
              <w:jc w:val="left"/>
            </w:pPr>
            <w:r>
              <w:rPr>
                <w:i/>
              </w:rPr>
              <w:t xml:space="preserve">International Standard </w:t>
            </w:r>
          </w:p>
        </w:tc>
        <w:tc>
          <w:tcPr>
            <w:tcW w:w="4085" w:type="dxa"/>
          </w:tcPr>
          <w:p w14:paraId="36FFAF72" w14:textId="77777777" w:rsidR="00F425AA" w:rsidRDefault="00F425AA" w:rsidP="00AA1AFD">
            <w:pPr>
              <w:spacing w:line="259" w:lineRule="auto"/>
              <w:ind w:left="0" w:firstLine="0"/>
              <w:jc w:val="left"/>
            </w:pPr>
            <w:r>
              <w:rPr>
                <w:i/>
              </w:rPr>
              <w:t xml:space="preserve">Corresponding Standard </w:t>
            </w:r>
          </w:p>
        </w:tc>
        <w:tc>
          <w:tcPr>
            <w:tcW w:w="2343" w:type="dxa"/>
          </w:tcPr>
          <w:p w14:paraId="09FA67F5" w14:textId="77777777" w:rsidR="00F425AA" w:rsidRDefault="00F425AA" w:rsidP="00AA1AFD">
            <w:pPr>
              <w:spacing w:line="259" w:lineRule="auto"/>
              <w:ind w:left="0" w:firstLine="0"/>
            </w:pPr>
            <w:r>
              <w:rPr>
                <w:i/>
              </w:rPr>
              <w:t xml:space="preserve">Degree of Equivalence </w:t>
            </w:r>
            <w:r>
              <w:t xml:space="preserve"> </w:t>
            </w:r>
          </w:p>
          <w:p w14:paraId="6672D6AD" w14:textId="77777777" w:rsidR="00F425AA" w:rsidRDefault="00F425AA" w:rsidP="00AA1AFD">
            <w:pPr>
              <w:spacing w:line="259" w:lineRule="auto"/>
              <w:ind w:left="0" w:firstLine="0"/>
              <w:jc w:val="left"/>
            </w:pPr>
            <w:r>
              <w:rPr>
                <w:i/>
              </w:rPr>
              <w:t xml:space="preserve"> </w:t>
            </w:r>
          </w:p>
        </w:tc>
      </w:tr>
      <w:tr w:rsidR="00F425AA" w14:paraId="52D838B6" w14:textId="77777777" w:rsidTr="008C4DC6">
        <w:trPr>
          <w:trHeight w:val="1445"/>
        </w:trPr>
        <w:tc>
          <w:tcPr>
            <w:tcW w:w="3288" w:type="dxa"/>
          </w:tcPr>
          <w:p w14:paraId="1FC597B3" w14:textId="77777777" w:rsidR="00F425AA" w:rsidRDefault="00F425AA" w:rsidP="00AA1AFD">
            <w:r>
              <w:t xml:space="preserve">ISO 8429, Optics and optical instruments — </w:t>
            </w:r>
          </w:p>
          <w:p w14:paraId="7A59823E" w14:textId="77777777" w:rsidR="00F425AA" w:rsidRDefault="00F425AA" w:rsidP="00AA1AFD">
            <w:pPr>
              <w:spacing w:line="259" w:lineRule="auto"/>
              <w:ind w:firstLine="0"/>
              <w:jc w:val="left"/>
            </w:pPr>
            <w:r>
              <w:t xml:space="preserve">Ophthalmology — Graduated </w:t>
            </w:r>
          </w:p>
          <w:p w14:paraId="56E68B05" w14:textId="77777777" w:rsidR="00F425AA" w:rsidRDefault="00F425AA" w:rsidP="00AA1AFD">
            <w:pPr>
              <w:spacing w:line="259" w:lineRule="auto"/>
              <w:ind w:firstLine="0"/>
              <w:jc w:val="left"/>
            </w:pPr>
            <w:r>
              <w:t xml:space="preserve">dial scale </w:t>
            </w:r>
          </w:p>
          <w:p w14:paraId="65701A74" w14:textId="77777777" w:rsidR="00F425AA" w:rsidRDefault="00F425AA" w:rsidP="00AA1AFD">
            <w:pPr>
              <w:spacing w:line="259" w:lineRule="auto"/>
              <w:ind w:left="0" w:firstLine="0"/>
              <w:jc w:val="left"/>
            </w:pPr>
            <w:r>
              <w:t xml:space="preserve"> </w:t>
            </w:r>
          </w:p>
        </w:tc>
        <w:tc>
          <w:tcPr>
            <w:tcW w:w="4085" w:type="dxa"/>
          </w:tcPr>
          <w:p w14:paraId="18B3B39A" w14:textId="23A0AB1B" w:rsidR="00F425AA" w:rsidRDefault="00416E99" w:rsidP="00AA1AFD">
            <w:pPr>
              <w:spacing w:line="257" w:lineRule="auto"/>
              <w:ind w:left="0" w:firstLine="0"/>
              <w:jc w:val="left"/>
            </w:pPr>
            <w:r>
              <w:t xml:space="preserve"> </w:t>
            </w:r>
            <w:r w:rsidR="00F425AA">
              <w:t xml:space="preserve">IS 13783 : 1993/ISO 8429:1986, Optics and optical instruments - </w:t>
            </w:r>
          </w:p>
          <w:p w14:paraId="40FDDE28" w14:textId="77777777" w:rsidR="00F425AA" w:rsidRDefault="00F425AA" w:rsidP="00AA1AFD">
            <w:pPr>
              <w:spacing w:line="259" w:lineRule="auto"/>
              <w:ind w:left="0" w:firstLine="0"/>
              <w:jc w:val="left"/>
            </w:pPr>
            <w:r>
              <w:t xml:space="preserve">Ophthalmology - Graduated dial scale </w:t>
            </w:r>
          </w:p>
        </w:tc>
        <w:tc>
          <w:tcPr>
            <w:tcW w:w="2343" w:type="dxa"/>
          </w:tcPr>
          <w:p w14:paraId="66407BBF" w14:textId="2C8AD5F1" w:rsidR="00F425AA" w:rsidRDefault="00F425AA" w:rsidP="00AA1AFD">
            <w:pPr>
              <w:spacing w:line="259" w:lineRule="auto"/>
              <w:ind w:left="0" w:firstLine="0"/>
              <w:jc w:val="left"/>
            </w:pPr>
            <w:r>
              <w:t xml:space="preserve">Identical </w:t>
            </w:r>
            <w:r>
              <w:tab/>
              <w:t xml:space="preserve"> </w:t>
            </w:r>
          </w:p>
        </w:tc>
      </w:tr>
      <w:tr w:rsidR="00F425AA" w14:paraId="479537E4" w14:textId="77777777" w:rsidTr="008C4DC6">
        <w:trPr>
          <w:trHeight w:val="1190"/>
        </w:trPr>
        <w:tc>
          <w:tcPr>
            <w:tcW w:w="3288" w:type="dxa"/>
          </w:tcPr>
          <w:p w14:paraId="4C046E4A" w14:textId="77777777" w:rsidR="00F425AA" w:rsidRDefault="00F425AA" w:rsidP="00AA1AFD">
            <w:pPr>
              <w:spacing w:after="5" w:line="244" w:lineRule="auto"/>
            </w:pPr>
            <w:r>
              <w:t xml:space="preserve">ISO 8598-1, Optics and optical instruments — </w:t>
            </w:r>
          </w:p>
          <w:p w14:paraId="6107F45B" w14:textId="77777777" w:rsidR="00F425AA" w:rsidRDefault="00F425AA" w:rsidP="00AA1AFD">
            <w:pPr>
              <w:spacing w:line="259" w:lineRule="auto"/>
              <w:ind w:firstLine="0"/>
            </w:pPr>
            <w:r>
              <w:t xml:space="preserve">Focimeters — Part 1: General purpose instruments </w:t>
            </w:r>
          </w:p>
        </w:tc>
        <w:tc>
          <w:tcPr>
            <w:tcW w:w="4085" w:type="dxa"/>
          </w:tcPr>
          <w:p w14:paraId="09364158" w14:textId="6072EF71" w:rsidR="00F425AA" w:rsidRDefault="00F425AA" w:rsidP="00AA1AFD">
            <w:pPr>
              <w:spacing w:line="259" w:lineRule="auto"/>
              <w:ind w:left="0" w:firstLine="0"/>
              <w:jc w:val="left"/>
            </w:pPr>
            <w:r>
              <w:t xml:space="preserve">   IS/ISO 8598-1 : 2014 </w:t>
            </w:r>
          </w:p>
          <w:p w14:paraId="50B18A29" w14:textId="77777777" w:rsidR="00F425AA" w:rsidRDefault="00F425AA" w:rsidP="00AA1AFD">
            <w:pPr>
              <w:spacing w:line="259" w:lineRule="auto"/>
              <w:ind w:left="0" w:firstLine="0"/>
              <w:jc w:val="left"/>
            </w:pPr>
            <w:r>
              <w:t xml:space="preserve">  Optics and optical instruments -     </w:t>
            </w:r>
          </w:p>
          <w:p w14:paraId="0175913C" w14:textId="1AC2326E" w:rsidR="00F425AA" w:rsidRDefault="00F425AA" w:rsidP="00AA1AFD">
            <w:pPr>
              <w:spacing w:line="259" w:lineRule="auto"/>
              <w:ind w:left="0" w:firstLine="0"/>
              <w:jc w:val="left"/>
            </w:pPr>
            <w:r>
              <w:t xml:space="preserve">  Focimeters: Part 1 general purpose     instruments </w:t>
            </w:r>
          </w:p>
        </w:tc>
        <w:tc>
          <w:tcPr>
            <w:tcW w:w="2343" w:type="dxa"/>
          </w:tcPr>
          <w:p w14:paraId="16514A1F" w14:textId="653E41FC" w:rsidR="00F425AA" w:rsidRDefault="00F425AA" w:rsidP="00AA1AFD">
            <w:pPr>
              <w:spacing w:line="259" w:lineRule="auto"/>
              <w:ind w:left="0" w:firstLine="0"/>
              <w:jc w:val="left"/>
            </w:pPr>
            <w:r>
              <w:t xml:space="preserve">Identical </w:t>
            </w:r>
          </w:p>
        </w:tc>
      </w:tr>
      <w:tr w:rsidR="00F425AA" w14:paraId="11BAE098" w14:textId="77777777" w:rsidTr="008C4DC6">
        <w:trPr>
          <w:trHeight w:val="1152"/>
        </w:trPr>
        <w:tc>
          <w:tcPr>
            <w:tcW w:w="3288" w:type="dxa"/>
          </w:tcPr>
          <w:p w14:paraId="428E06BF" w14:textId="77777777" w:rsidR="00F425AA" w:rsidRDefault="00F425AA" w:rsidP="00AA1AFD">
            <w:pPr>
              <w:spacing w:line="259" w:lineRule="auto"/>
              <w:ind w:left="200" w:firstLine="0"/>
              <w:jc w:val="left"/>
            </w:pPr>
            <w:r>
              <w:t xml:space="preserve">ISO 8624, Ophthalmic optics </w:t>
            </w:r>
          </w:p>
          <w:p w14:paraId="5DA5B888" w14:textId="77777777" w:rsidR="00F425AA" w:rsidRDefault="00F425AA" w:rsidP="00AA1AFD">
            <w:pPr>
              <w:spacing w:after="5" w:line="244" w:lineRule="auto"/>
              <w:ind w:firstLine="0"/>
            </w:pPr>
            <w:r>
              <w:t xml:space="preserve">— Spectacle frames — Measuring system and </w:t>
            </w:r>
          </w:p>
          <w:p w14:paraId="39A52FDE" w14:textId="77777777" w:rsidR="00F425AA" w:rsidRDefault="00F425AA" w:rsidP="00AA1AFD">
            <w:pPr>
              <w:spacing w:line="259" w:lineRule="auto"/>
              <w:ind w:firstLine="0"/>
              <w:jc w:val="left"/>
            </w:pPr>
            <w:r>
              <w:t xml:space="preserve">terminology </w:t>
            </w:r>
          </w:p>
        </w:tc>
        <w:tc>
          <w:tcPr>
            <w:tcW w:w="4085" w:type="dxa"/>
          </w:tcPr>
          <w:p w14:paraId="112A3829" w14:textId="77777777" w:rsidR="00F425AA" w:rsidRDefault="00F425AA" w:rsidP="00AA1AFD">
            <w:pPr>
              <w:spacing w:line="259" w:lineRule="auto"/>
              <w:ind w:left="0" w:firstLine="0"/>
              <w:jc w:val="left"/>
            </w:pPr>
            <w:r>
              <w:t xml:space="preserve">IS/ISO 8624 : 2011 </w:t>
            </w:r>
          </w:p>
          <w:p w14:paraId="1BB92E93" w14:textId="77777777" w:rsidR="00F425AA" w:rsidRDefault="00F425AA" w:rsidP="00AA1AFD">
            <w:pPr>
              <w:spacing w:line="259" w:lineRule="auto"/>
              <w:ind w:left="0" w:firstLine="0"/>
              <w:jc w:val="left"/>
            </w:pPr>
            <w:r>
              <w:t xml:space="preserve">Ophthalmic optics - Spectacle frames - </w:t>
            </w:r>
          </w:p>
          <w:p w14:paraId="2A3C814A" w14:textId="77777777" w:rsidR="00F425AA" w:rsidRDefault="00F425AA" w:rsidP="00AA1AFD">
            <w:pPr>
              <w:spacing w:line="259" w:lineRule="auto"/>
              <w:ind w:left="0" w:firstLine="0"/>
              <w:jc w:val="left"/>
            </w:pPr>
            <w:r>
              <w:t xml:space="preserve">Measuring system and terminology </w:t>
            </w:r>
          </w:p>
        </w:tc>
        <w:tc>
          <w:tcPr>
            <w:tcW w:w="2343" w:type="dxa"/>
          </w:tcPr>
          <w:p w14:paraId="6E38BD16" w14:textId="20764CAC" w:rsidR="00F425AA" w:rsidRDefault="00F425AA" w:rsidP="00AA1AFD">
            <w:pPr>
              <w:spacing w:line="259" w:lineRule="auto"/>
              <w:ind w:left="0" w:firstLine="0"/>
              <w:jc w:val="left"/>
            </w:pPr>
            <w:r>
              <w:t xml:space="preserve">Identical </w:t>
            </w:r>
          </w:p>
        </w:tc>
      </w:tr>
      <w:tr w:rsidR="00F425AA" w14:paraId="27A3CD06" w14:textId="77777777" w:rsidTr="008C4DC6">
        <w:trPr>
          <w:trHeight w:val="1483"/>
        </w:trPr>
        <w:tc>
          <w:tcPr>
            <w:tcW w:w="3288" w:type="dxa"/>
          </w:tcPr>
          <w:p w14:paraId="4946D466" w14:textId="7FB8E5B7" w:rsidR="00F425AA" w:rsidRDefault="00F425AA" w:rsidP="00AA1AFD">
            <w:pPr>
              <w:spacing w:line="259" w:lineRule="auto"/>
              <w:ind w:right="214"/>
            </w:pPr>
            <w:r>
              <w:lastRenderedPageBreak/>
              <w:t xml:space="preserve">ISO 8980-1, Ophthalmic optics — Uncut finished spectacle lenses — Part 1: Specifications for </w:t>
            </w:r>
            <w:r w:rsidR="00237BED">
              <w:t>single vision</w:t>
            </w:r>
            <w:r>
              <w:t xml:space="preserve"> and multifocal lenses </w:t>
            </w:r>
          </w:p>
        </w:tc>
        <w:tc>
          <w:tcPr>
            <w:tcW w:w="4085" w:type="dxa"/>
          </w:tcPr>
          <w:p w14:paraId="3D4F3B33" w14:textId="64ADCD69" w:rsidR="00F425AA" w:rsidRDefault="00F425AA" w:rsidP="00AA1AFD">
            <w:pPr>
              <w:spacing w:line="259" w:lineRule="auto"/>
              <w:ind w:left="0" w:firstLine="0"/>
              <w:jc w:val="left"/>
            </w:pPr>
            <w:r>
              <w:t xml:space="preserve">IS/ISO 8980 </w:t>
            </w:r>
            <w:r w:rsidR="00680227">
              <w:t>-1</w:t>
            </w:r>
            <w:r>
              <w:t xml:space="preserve">: 2017 </w:t>
            </w:r>
          </w:p>
          <w:p w14:paraId="239EEDD1" w14:textId="77777777" w:rsidR="00F425AA" w:rsidRDefault="00F425AA" w:rsidP="00AA1AFD">
            <w:pPr>
              <w:spacing w:line="259" w:lineRule="auto"/>
              <w:ind w:left="0" w:right="173" w:firstLine="0"/>
              <w:jc w:val="left"/>
            </w:pPr>
            <w:r>
              <w:t xml:space="preserve">Ophthalmic optics Uncut finished spectacle lenses Part 1 Specifications for single-vision and Multifocal Lenses (First Revision) </w:t>
            </w:r>
          </w:p>
        </w:tc>
        <w:tc>
          <w:tcPr>
            <w:tcW w:w="2343" w:type="dxa"/>
          </w:tcPr>
          <w:p w14:paraId="2316400C" w14:textId="75681A14" w:rsidR="00F425AA" w:rsidRDefault="00F425AA" w:rsidP="00AA1AFD">
            <w:pPr>
              <w:spacing w:line="259" w:lineRule="auto"/>
              <w:ind w:left="0" w:firstLine="0"/>
              <w:jc w:val="left"/>
            </w:pPr>
            <w:r>
              <w:t xml:space="preserve">Identical </w:t>
            </w:r>
          </w:p>
        </w:tc>
      </w:tr>
      <w:tr w:rsidR="00F425AA" w14:paraId="5097B5BB" w14:textId="77777777" w:rsidTr="008C4DC6">
        <w:trPr>
          <w:trHeight w:val="1424"/>
        </w:trPr>
        <w:tc>
          <w:tcPr>
            <w:tcW w:w="3288" w:type="dxa"/>
          </w:tcPr>
          <w:p w14:paraId="51FD2FA7" w14:textId="64054E56" w:rsidR="00F425AA" w:rsidRDefault="00F425AA" w:rsidP="00AA1AFD">
            <w:pPr>
              <w:spacing w:line="259" w:lineRule="auto"/>
              <w:ind w:right="214"/>
            </w:pPr>
            <w:r>
              <w:t xml:space="preserve">ISO 8980-2, Ophthalmic optics — Uncut finished spectacle lenses — Part 2: Specifications for </w:t>
            </w:r>
            <w:r w:rsidR="00237BED">
              <w:t>power variation</w:t>
            </w:r>
            <w:r>
              <w:t xml:space="preserve"> lenses </w:t>
            </w:r>
          </w:p>
        </w:tc>
        <w:tc>
          <w:tcPr>
            <w:tcW w:w="4085" w:type="dxa"/>
          </w:tcPr>
          <w:p w14:paraId="7919F6A7" w14:textId="77777777" w:rsidR="00F425AA" w:rsidRDefault="00F425AA" w:rsidP="00AA1AFD">
            <w:pPr>
              <w:spacing w:line="259" w:lineRule="auto"/>
              <w:ind w:left="0" w:firstLine="0"/>
              <w:jc w:val="left"/>
            </w:pPr>
            <w:r>
              <w:t xml:space="preserve">IS/ISO 8980-2 : 2017 </w:t>
            </w:r>
          </w:p>
          <w:p w14:paraId="74184E77" w14:textId="77777777" w:rsidR="00F425AA" w:rsidRDefault="00F425AA" w:rsidP="00AA1AFD">
            <w:pPr>
              <w:spacing w:line="259" w:lineRule="auto"/>
              <w:ind w:left="0" w:right="106" w:firstLine="0"/>
              <w:jc w:val="left"/>
            </w:pPr>
            <w:r>
              <w:t xml:space="preserve">Ophthalmic optics Uncut finished spectacle lenses Part 2: Specifications for power-variation lenses </w:t>
            </w:r>
          </w:p>
        </w:tc>
        <w:tc>
          <w:tcPr>
            <w:tcW w:w="2343" w:type="dxa"/>
          </w:tcPr>
          <w:p w14:paraId="6387175A" w14:textId="35BD68ED" w:rsidR="00F425AA" w:rsidRDefault="00F425AA" w:rsidP="00AA1AFD">
            <w:pPr>
              <w:spacing w:line="259" w:lineRule="auto"/>
              <w:ind w:left="0" w:firstLine="0"/>
              <w:jc w:val="left"/>
            </w:pPr>
            <w:r>
              <w:t xml:space="preserve">Identical </w:t>
            </w:r>
          </w:p>
        </w:tc>
      </w:tr>
    </w:tbl>
    <w:p w14:paraId="1F3CBFEA" w14:textId="21641A69" w:rsidR="00B3436C" w:rsidRDefault="00B3436C" w:rsidP="008C4DC6">
      <w:pPr>
        <w:spacing w:line="240" w:lineRule="auto"/>
        <w:ind w:left="0" w:firstLine="0"/>
        <w:jc w:val="left"/>
        <w:rPr>
          <w:color w:val="auto"/>
          <w:kern w:val="0"/>
          <w:szCs w:val="24"/>
          <w:lang w:val="en-US" w:eastAsia="en-US" w:bidi="hi-IN"/>
          <w14:ligatures w14:val="none"/>
        </w:rPr>
      </w:pPr>
    </w:p>
    <w:p w14:paraId="789B3A70" w14:textId="77777777" w:rsidR="00EA4A5E" w:rsidRPr="00EA4A5E" w:rsidRDefault="00EA4A5E" w:rsidP="00EA4A5E">
      <w:pPr>
        <w:spacing w:line="240" w:lineRule="auto"/>
        <w:ind w:left="0" w:right="95" w:firstLine="0"/>
        <w:rPr>
          <w:color w:val="auto"/>
          <w:kern w:val="0"/>
          <w:szCs w:val="24"/>
          <w:lang w:val="en-US" w:eastAsia="en-US" w:bidi="hi-IN"/>
          <w14:ligatures w14:val="none"/>
        </w:rPr>
      </w:pPr>
    </w:p>
    <w:p w14:paraId="761DD0FF" w14:textId="5D7D5E8A" w:rsidR="00B3436C" w:rsidRDefault="00B3436C" w:rsidP="008C4DC6">
      <w:pPr>
        <w:tabs>
          <w:tab w:val="left" w:pos="6825"/>
        </w:tabs>
        <w:ind w:left="200" w:firstLine="0"/>
        <w:rPr>
          <w:color w:val="000000" w:themeColor="text1"/>
          <w:szCs w:val="24"/>
        </w:rPr>
      </w:pPr>
      <w:r w:rsidRPr="00BB2613">
        <w:rPr>
          <w:color w:val="000000" w:themeColor="text1"/>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(Second Revision)</w:t>
      </w:r>
      <w:r w:rsidR="008A5A78">
        <w:rPr>
          <w:color w:val="000000" w:themeColor="text1"/>
          <w:szCs w:val="24"/>
        </w:rPr>
        <w:t>’</w:t>
      </w:r>
      <w:r w:rsidRPr="00BB2613">
        <w:rPr>
          <w:color w:val="000000" w:themeColor="text1"/>
          <w:szCs w:val="24"/>
        </w:rPr>
        <w:t>. The number of significant places retained in the rounded off value should be same as that of the specified value in this standard.</w:t>
      </w:r>
    </w:p>
    <w:p w14:paraId="397D155C" w14:textId="77777777" w:rsidR="008C4DC6" w:rsidRDefault="008C4DC6" w:rsidP="008C4DC6">
      <w:pPr>
        <w:tabs>
          <w:tab w:val="left" w:pos="6825"/>
        </w:tabs>
        <w:ind w:left="200" w:firstLine="0"/>
        <w:rPr>
          <w:color w:val="000000" w:themeColor="text1"/>
          <w:szCs w:val="24"/>
        </w:rPr>
      </w:pPr>
    </w:p>
    <w:p w14:paraId="7FCF571F" w14:textId="08D19489" w:rsidR="008C4DC6" w:rsidRDefault="008C4DC6" w:rsidP="008C4DC6">
      <w:pPr>
        <w:ind w:left="100"/>
      </w:pPr>
      <w:r>
        <w:t>This standard also makes a reference to the BIS Certification Marking of the product. Details of which is given in National Annex A</w:t>
      </w:r>
      <w:r w:rsidR="008A5A78">
        <w:t>.</w:t>
      </w:r>
    </w:p>
    <w:p w14:paraId="504E3214" w14:textId="77777777" w:rsidR="008C4DC6" w:rsidRDefault="008C4DC6" w:rsidP="008C4DC6">
      <w:pPr>
        <w:spacing w:line="259" w:lineRule="auto"/>
        <w:ind w:left="0" w:firstLine="0"/>
        <w:jc w:val="left"/>
      </w:pPr>
      <w:r>
        <w:t xml:space="preserve"> </w:t>
      </w:r>
      <w:r>
        <w:tab/>
        <w:t xml:space="preserve"> </w:t>
      </w:r>
      <w:r>
        <w:br w:type="page"/>
      </w:r>
    </w:p>
    <w:p w14:paraId="62E3FFCE" w14:textId="77777777" w:rsidR="008C4DC6" w:rsidRPr="008A5A78" w:rsidRDefault="008C4DC6" w:rsidP="008C4DC6">
      <w:pPr>
        <w:pStyle w:val="Heading2"/>
        <w:ind w:right="215"/>
        <w:rPr>
          <w:i w:val="0"/>
          <w:iCs/>
        </w:rPr>
      </w:pPr>
      <w:r w:rsidRPr="008A5A78">
        <w:rPr>
          <w:i w:val="0"/>
          <w:iCs/>
        </w:rPr>
        <w:lastRenderedPageBreak/>
        <w:t>NATIONAL ANNEX A</w:t>
      </w:r>
      <w:r w:rsidRPr="008A5A78">
        <w:rPr>
          <w:b w:val="0"/>
          <w:i w:val="0"/>
          <w:iCs/>
        </w:rPr>
        <w:t xml:space="preserve"> </w:t>
      </w:r>
    </w:p>
    <w:p w14:paraId="5FD97A2B" w14:textId="77777777" w:rsidR="008C4DC6" w:rsidRDefault="008C4DC6" w:rsidP="008C4DC6">
      <w:pPr>
        <w:spacing w:line="259" w:lineRule="auto"/>
        <w:ind w:left="200" w:firstLine="0"/>
        <w:jc w:val="center"/>
      </w:pPr>
      <w:r>
        <w:t xml:space="preserve">(National Foreword) </w:t>
      </w:r>
    </w:p>
    <w:p w14:paraId="3530B8E3" w14:textId="77777777" w:rsidR="008C4DC6" w:rsidRDefault="008C4DC6" w:rsidP="008C4DC6">
      <w:pPr>
        <w:spacing w:line="259" w:lineRule="auto"/>
        <w:ind w:firstLine="0"/>
        <w:jc w:val="left"/>
      </w:pPr>
      <w:r>
        <w:t xml:space="preserve"> </w:t>
      </w:r>
      <w:r>
        <w:tab/>
        <w:t xml:space="preserve"> </w:t>
      </w:r>
    </w:p>
    <w:p w14:paraId="29319A35" w14:textId="77777777" w:rsidR="008C4DC6" w:rsidRDefault="008C4DC6" w:rsidP="008C4DC6">
      <w:pPr>
        <w:spacing w:after="1" w:line="259" w:lineRule="auto"/>
        <w:jc w:val="left"/>
      </w:pPr>
      <w:r>
        <w:rPr>
          <w:b/>
        </w:rPr>
        <w:t xml:space="preserve">A-1 BIS CERTIFICATION MARKING  </w:t>
      </w:r>
    </w:p>
    <w:p w14:paraId="6EF5B081" w14:textId="77777777" w:rsidR="008C4DC6" w:rsidRDefault="008C4DC6" w:rsidP="008C4DC6">
      <w:pPr>
        <w:spacing w:line="259" w:lineRule="auto"/>
        <w:ind w:left="200" w:firstLine="0"/>
        <w:jc w:val="left"/>
      </w:pPr>
      <w:r>
        <w:rPr>
          <w:b/>
        </w:rPr>
        <w:t xml:space="preserve"> </w:t>
      </w:r>
    </w:p>
    <w:p w14:paraId="6281291E" w14:textId="77777777" w:rsidR="008C4DC6" w:rsidRDefault="008C4DC6" w:rsidP="008C4DC6">
      <w:r>
        <w:t>The product(s) conforming to the requirements of this standard may be certified as per the conformity assessment schemes under the provisions of the BIS Act, 2016 and the Rules and Regulations framed thereunder, and the product(s) may be marked with the Standard Mark.</w:t>
      </w:r>
    </w:p>
    <w:p w14:paraId="35D9CE62" w14:textId="77777777" w:rsidR="008C4DC6" w:rsidRDefault="008C4DC6" w:rsidP="008C4DC6">
      <w:pPr>
        <w:tabs>
          <w:tab w:val="left" w:pos="6825"/>
        </w:tabs>
        <w:ind w:left="200" w:firstLine="0"/>
        <w:rPr>
          <w:color w:val="000000" w:themeColor="text1"/>
          <w:szCs w:val="24"/>
        </w:rPr>
      </w:pPr>
    </w:p>
    <w:p w14:paraId="70E7BFA5" w14:textId="77777777" w:rsidR="00B3436C" w:rsidRDefault="00B3436C" w:rsidP="00B3436C">
      <w:pPr>
        <w:tabs>
          <w:tab w:val="left" w:pos="6825"/>
        </w:tabs>
        <w:rPr>
          <w:color w:val="000000" w:themeColor="text1"/>
          <w:szCs w:val="24"/>
        </w:rPr>
      </w:pPr>
    </w:p>
    <w:p w14:paraId="05B00445" w14:textId="77777777" w:rsidR="00B3436C" w:rsidRDefault="00B3436C" w:rsidP="00B3436C">
      <w:pPr>
        <w:tabs>
          <w:tab w:val="left" w:pos="2415"/>
        </w:tabs>
        <w:spacing w:line="259" w:lineRule="auto"/>
        <w:ind w:left="0" w:firstLine="0"/>
        <w:jc w:val="left"/>
      </w:pPr>
    </w:p>
    <w:p w14:paraId="4CA09120" w14:textId="77777777" w:rsidR="00B3436C" w:rsidRDefault="00B3436C" w:rsidP="00B3436C">
      <w:pPr>
        <w:spacing w:after="37" w:line="259" w:lineRule="auto"/>
        <w:ind w:left="0" w:firstLine="0"/>
        <w:jc w:val="left"/>
      </w:pPr>
    </w:p>
    <w:p w14:paraId="46EC4C18" w14:textId="77777777" w:rsidR="00B3436C" w:rsidRDefault="00B3436C" w:rsidP="00B3436C">
      <w:pPr>
        <w:ind w:left="10"/>
      </w:pPr>
    </w:p>
    <w:bookmarkEnd w:id="0"/>
    <w:p w14:paraId="72301BE4" w14:textId="77777777" w:rsidR="00B3436C" w:rsidRDefault="00B3436C" w:rsidP="00B3436C"/>
    <w:p w14:paraId="3AAAFE9A" w14:textId="77777777" w:rsidR="00B3436C" w:rsidRDefault="00B3436C" w:rsidP="00B3436C"/>
    <w:p w14:paraId="4CF62EB0" w14:textId="77777777" w:rsidR="00B3436C" w:rsidRDefault="00B3436C" w:rsidP="00B3436C"/>
    <w:p w14:paraId="1B6A007D" w14:textId="77777777" w:rsidR="00B3436C" w:rsidRDefault="00B3436C" w:rsidP="00B3436C"/>
    <w:p w14:paraId="4CA17A20" w14:textId="77777777" w:rsidR="00B3436C" w:rsidRDefault="00B3436C" w:rsidP="00B3436C"/>
    <w:p w14:paraId="69D6F8BC" w14:textId="77777777" w:rsidR="00B3436C" w:rsidRDefault="00B3436C" w:rsidP="00B3436C"/>
    <w:p w14:paraId="77113FB3" w14:textId="77777777" w:rsidR="00B3436C" w:rsidRDefault="00B3436C" w:rsidP="00B3436C"/>
    <w:p w14:paraId="6BC5BC72" w14:textId="77777777" w:rsidR="00B3436C" w:rsidRPr="009C7446" w:rsidRDefault="00B3436C" w:rsidP="00B3436C"/>
    <w:p w14:paraId="1BDB5C86" w14:textId="77777777" w:rsidR="00B72CFD" w:rsidRDefault="00B72CFD"/>
    <w:sectPr w:rsidR="00B72CFD">
      <w:headerReference w:type="even" r:id="rId7"/>
      <w:headerReference w:type="default" r:id="rId8"/>
      <w:headerReference w:type="first" r:id="rId9"/>
      <w:pgSz w:w="12240" w:h="15840"/>
      <w:pgMar w:top="1512" w:right="1119" w:bottom="1405" w:left="1241" w:header="72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C9A40" w14:textId="77777777" w:rsidR="00B161CF" w:rsidRDefault="00B161CF" w:rsidP="00B3436C">
      <w:pPr>
        <w:spacing w:line="240" w:lineRule="auto"/>
      </w:pPr>
      <w:r>
        <w:separator/>
      </w:r>
    </w:p>
  </w:endnote>
  <w:endnote w:type="continuationSeparator" w:id="0">
    <w:p w14:paraId="7704F99E" w14:textId="77777777" w:rsidR="00B161CF" w:rsidRDefault="00B161CF" w:rsidP="00B34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D216B" w14:textId="77777777" w:rsidR="00B161CF" w:rsidRDefault="00B161CF" w:rsidP="00B3436C">
      <w:pPr>
        <w:spacing w:line="240" w:lineRule="auto"/>
      </w:pPr>
      <w:r>
        <w:separator/>
      </w:r>
    </w:p>
  </w:footnote>
  <w:footnote w:type="continuationSeparator" w:id="0">
    <w:p w14:paraId="7E1E77F5" w14:textId="77777777" w:rsidR="00B161CF" w:rsidRDefault="00B161CF" w:rsidP="00B343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76C7" w14:textId="77777777" w:rsidR="00545971" w:rsidRDefault="00E52F2F">
    <w:pPr>
      <w:spacing w:line="259" w:lineRule="auto"/>
      <w:ind w:left="0" w:firstLine="0"/>
      <w:jc w:val="left"/>
    </w:pPr>
    <w:r>
      <w:rPr>
        <w:b/>
      </w:rPr>
      <w:t xml:space="preserve">                                                                                                              </w:t>
    </w:r>
    <w:r>
      <w:rPr>
        <w:b/>
        <w:u w:val="single" w:color="000000"/>
      </w:rPr>
      <w:t>Doc No.: MHD 17(22699) WC</w:t>
    </w:r>
    <w:r>
      <w:rPr>
        <w:b/>
      </w:rPr>
      <w:t xml:space="preserve"> </w:t>
    </w:r>
  </w:p>
  <w:p w14:paraId="688C687D" w14:textId="77777777" w:rsidR="00545971" w:rsidRDefault="00E52F2F">
    <w:pPr>
      <w:spacing w:line="259" w:lineRule="auto"/>
      <w:ind w:left="0" w:right="208" w:firstLine="0"/>
      <w:jc w:val="right"/>
    </w:pPr>
    <w:r>
      <w:rPr>
        <w:b/>
      </w:rPr>
      <w:t xml:space="preserve">                                          June 2023 </w:t>
    </w:r>
  </w:p>
  <w:p w14:paraId="6D916617" w14:textId="77777777" w:rsidR="00545971" w:rsidRDefault="00E52F2F">
    <w:pPr>
      <w:spacing w:line="259" w:lineRule="auto"/>
      <w:ind w:lef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D339" w14:textId="77777777" w:rsidR="00545971" w:rsidRDefault="00755CDD" w:rsidP="00663913">
    <w:pPr>
      <w:spacing w:line="259" w:lineRule="auto"/>
      <w:ind w:left="0" w:firstLine="0"/>
      <w:jc w:val="right"/>
      <w:rPr>
        <w:b/>
        <w:bCs/>
      </w:rPr>
    </w:pPr>
    <w:r>
      <w:rPr>
        <w:b/>
        <w:bCs/>
      </w:rPr>
      <w:t>IS XXXX:2024</w:t>
    </w:r>
  </w:p>
  <w:p w14:paraId="52C41100" w14:textId="23D74038" w:rsidR="009F58C5" w:rsidRPr="00663913" w:rsidRDefault="009F58C5" w:rsidP="00663913">
    <w:pPr>
      <w:spacing w:line="259" w:lineRule="auto"/>
      <w:ind w:left="0" w:firstLine="0"/>
      <w:jc w:val="right"/>
      <w:rPr>
        <w:b/>
        <w:bCs/>
      </w:rPr>
    </w:pPr>
    <w:r w:rsidRPr="009F58C5">
      <w:rPr>
        <w:b/>
        <w:bCs/>
      </w:rPr>
      <w:t>ISO 21987:2017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8A40" w14:textId="77777777" w:rsidR="00545971" w:rsidRDefault="00E52F2F">
    <w:pPr>
      <w:spacing w:line="259" w:lineRule="auto"/>
      <w:ind w:left="0" w:firstLine="0"/>
      <w:jc w:val="left"/>
    </w:pPr>
    <w:r>
      <w:rPr>
        <w:b/>
      </w:rPr>
      <w:t xml:space="preserve">                                                                                                              </w:t>
    </w:r>
    <w:r>
      <w:rPr>
        <w:b/>
        <w:u w:val="single" w:color="000000"/>
      </w:rPr>
      <w:t>Doc No.: MHD 17(22699) WC</w:t>
    </w:r>
    <w:r>
      <w:rPr>
        <w:b/>
      </w:rPr>
      <w:t xml:space="preserve"> </w:t>
    </w:r>
  </w:p>
  <w:p w14:paraId="2BEBC5AB" w14:textId="77777777" w:rsidR="00545971" w:rsidRDefault="00E52F2F">
    <w:pPr>
      <w:spacing w:line="259" w:lineRule="auto"/>
      <w:ind w:left="0" w:right="208" w:firstLine="0"/>
      <w:jc w:val="right"/>
    </w:pPr>
    <w:r>
      <w:rPr>
        <w:b/>
      </w:rPr>
      <w:t xml:space="preserve">                                          June 2023 </w:t>
    </w:r>
  </w:p>
  <w:p w14:paraId="0F0AF3E3" w14:textId="77777777" w:rsidR="00545971" w:rsidRDefault="00E52F2F">
    <w:pPr>
      <w:spacing w:line="259" w:lineRule="auto"/>
      <w:ind w:lef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917B8"/>
    <w:multiLevelType w:val="hybridMultilevel"/>
    <w:tmpl w:val="2BEEBEFE"/>
    <w:lvl w:ilvl="0" w:tplc="A31AC9E6">
      <w:start w:val="1"/>
      <w:numFmt w:val="lowerLetter"/>
      <w:lvlText w:val="%1)"/>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F2ED6C">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E48D0">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F8D648">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E0414">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84D858">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E3ED2">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41592">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30529C">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3917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6C"/>
    <w:rsid w:val="00237BED"/>
    <w:rsid w:val="00263EFA"/>
    <w:rsid w:val="002E0CCC"/>
    <w:rsid w:val="002E199F"/>
    <w:rsid w:val="00407D6C"/>
    <w:rsid w:val="00416E99"/>
    <w:rsid w:val="004A2D7A"/>
    <w:rsid w:val="004E7DE9"/>
    <w:rsid w:val="00521F53"/>
    <w:rsid w:val="00545971"/>
    <w:rsid w:val="005A06BD"/>
    <w:rsid w:val="005C4914"/>
    <w:rsid w:val="0061290E"/>
    <w:rsid w:val="00680227"/>
    <w:rsid w:val="00755CDD"/>
    <w:rsid w:val="00841381"/>
    <w:rsid w:val="00844A3D"/>
    <w:rsid w:val="00863A5C"/>
    <w:rsid w:val="008A5A78"/>
    <w:rsid w:val="008C4DC6"/>
    <w:rsid w:val="008D7A39"/>
    <w:rsid w:val="009F58C5"/>
    <w:rsid w:val="00AD58E9"/>
    <w:rsid w:val="00AD5AF7"/>
    <w:rsid w:val="00B161CF"/>
    <w:rsid w:val="00B3436C"/>
    <w:rsid w:val="00B71EEB"/>
    <w:rsid w:val="00B72CFD"/>
    <w:rsid w:val="00C960C6"/>
    <w:rsid w:val="00C96618"/>
    <w:rsid w:val="00D07E86"/>
    <w:rsid w:val="00D15B28"/>
    <w:rsid w:val="00D34B99"/>
    <w:rsid w:val="00E52F2F"/>
    <w:rsid w:val="00EA4A5E"/>
    <w:rsid w:val="00F25B16"/>
    <w:rsid w:val="00F425AA"/>
    <w:rsid w:val="00F6362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E1DE2"/>
  <w15:chartTrackingRefBased/>
  <w15:docId w15:val="{EB645F25-B918-4F74-B823-CA498E00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6C"/>
    <w:pPr>
      <w:spacing w:after="0" w:line="249" w:lineRule="auto"/>
      <w:ind w:left="210" w:hanging="10"/>
      <w:jc w:val="both"/>
    </w:pPr>
    <w:rPr>
      <w:rFonts w:ascii="Times New Roman" w:eastAsia="Times New Roman" w:hAnsi="Times New Roman" w:cs="Times New Roman"/>
      <w:color w:val="000000"/>
      <w:kern w:val="2"/>
      <w:sz w:val="24"/>
      <w:lang w:val="en-IN" w:eastAsia="en-IN"/>
      <w14:ligatures w14:val="standardContextual"/>
    </w:rPr>
  </w:style>
  <w:style w:type="paragraph" w:styleId="Heading1">
    <w:name w:val="heading 1"/>
    <w:next w:val="Normal"/>
    <w:link w:val="Heading1Char"/>
    <w:uiPriority w:val="9"/>
    <w:qFormat/>
    <w:rsid w:val="00B3436C"/>
    <w:pPr>
      <w:keepNext/>
      <w:keepLines/>
      <w:spacing w:after="168"/>
      <w:ind w:left="109"/>
      <w:jc w:val="center"/>
      <w:outlineLvl w:val="0"/>
    </w:pPr>
    <w:rPr>
      <w:rFonts w:ascii="Nirmala UI" w:eastAsia="Nirmala UI" w:hAnsi="Nirmala UI" w:cs="Nirmala UI"/>
      <w:b/>
      <w:color w:val="000000"/>
      <w:kern w:val="2"/>
      <w:sz w:val="31"/>
      <w:lang w:val="en-IN" w:eastAsia="en-IN"/>
      <w14:ligatures w14:val="standardContextual"/>
    </w:rPr>
  </w:style>
  <w:style w:type="paragraph" w:styleId="Heading2">
    <w:name w:val="heading 2"/>
    <w:next w:val="Normal"/>
    <w:link w:val="Heading2Char"/>
    <w:uiPriority w:val="9"/>
    <w:unhideWhenUsed/>
    <w:qFormat/>
    <w:rsid w:val="00B3436C"/>
    <w:pPr>
      <w:keepNext/>
      <w:keepLines/>
      <w:spacing w:after="0"/>
      <w:ind w:left="63"/>
      <w:jc w:val="center"/>
      <w:outlineLvl w:val="1"/>
    </w:pPr>
    <w:rPr>
      <w:rFonts w:ascii="Times New Roman" w:eastAsia="Times New Roman" w:hAnsi="Times New Roman" w:cs="Times New Roman"/>
      <w:b/>
      <w:i/>
      <w:color w:val="000000"/>
      <w:kern w:val="2"/>
      <w:sz w:val="28"/>
      <w:lang w:val="en-IN"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36C"/>
    <w:rPr>
      <w:rFonts w:ascii="Nirmala UI" w:eastAsia="Nirmala UI" w:hAnsi="Nirmala UI" w:cs="Nirmala UI"/>
      <w:b/>
      <w:color w:val="000000"/>
      <w:kern w:val="2"/>
      <w:sz w:val="31"/>
      <w:lang w:val="en-IN" w:eastAsia="en-IN"/>
      <w14:ligatures w14:val="standardContextual"/>
    </w:rPr>
  </w:style>
  <w:style w:type="character" w:customStyle="1" w:styleId="Heading2Char">
    <w:name w:val="Heading 2 Char"/>
    <w:basedOn w:val="DefaultParagraphFont"/>
    <w:link w:val="Heading2"/>
    <w:uiPriority w:val="9"/>
    <w:rsid w:val="00B3436C"/>
    <w:rPr>
      <w:rFonts w:ascii="Times New Roman" w:eastAsia="Times New Roman" w:hAnsi="Times New Roman" w:cs="Times New Roman"/>
      <w:b/>
      <w:i/>
      <w:color w:val="000000"/>
      <w:kern w:val="2"/>
      <w:sz w:val="28"/>
      <w:lang w:val="en-IN" w:eastAsia="en-IN"/>
      <w14:ligatures w14:val="standardContextual"/>
    </w:rPr>
  </w:style>
  <w:style w:type="paragraph" w:styleId="Header">
    <w:name w:val="header"/>
    <w:basedOn w:val="Normal"/>
    <w:link w:val="HeaderChar"/>
    <w:uiPriority w:val="99"/>
    <w:unhideWhenUsed/>
    <w:rsid w:val="00B3436C"/>
    <w:pPr>
      <w:tabs>
        <w:tab w:val="center" w:pos="4680"/>
        <w:tab w:val="right" w:pos="9360"/>
      </w:tabs>
      <w:spacing w:line="240" w:lineRule="auto"/>
    </w:pPr>
  </w:style>
  <w:style w:type="character" w:customStyle="1" w:styleId="HeaderChar">
    <w:name w:val="Header Char"/>
    <w:basedOn w:val="DefaultParagraphFont"/>
    <w:link w:val="Header"/>
    <w:uiPriority w:val="99"/>
    <w:rsid w:val="00B3436C"/>
    <w:rPr>
      <w:rFonts w:ascii="Times New Roman" w:eastAsia="Times New Roman" w:hAnsi="Times New Roman" w:cs="Times New Roman"/>
      <w:color w:val="000000"/>
      <w:kern w:val="2"/>
      <w:sz w:val="24"/>
      <w:lang w:val="en-IN" w:eastAsia="en-IN"/>
      <w14:ligatures w14:val="standardContextual"/>
    </w:rPr>
  </w:style>
  <w:style w:type="paragraph" w:styleId="NormalWeb">
    <w:name w:val="Normal (Web)"/>
    <w:basedOn w:val="Normal"/>
    <w:uiPriority w:val="99"/>
    <w:semiHidden/>
    <w:unhideWhenUsed/>
    <w:rsid w:val="00B3436C"/>
    <w:pPr>
      <w:spacing w:before="100" w:beforeAutospacing="1" w:after="100" w:afterAutospacing="1" w:line="240" w:lineRule="auto"/>
      <w:ind w:left="0" w:firstLine="0"/>
      <w:jc w:val="left"/>
    </w:pPr>
    <w:rPr>
      <w:color w:val="auto"/>
      <w:kern w:val="0"/>
      <w:szCs w:val="24"/>
      <w:lang w:val="en-US" w:eastAsia="en-US" w:bidi="hi-IN"/>
      <w14:ligatures w14:val="none"/>
    </w:rPr>
  </w:style>
  <w:style w:type="character" w:customStyle="1" w:styleId="apple-tab-span">
    <w:name w:val="apple-tab-span"/>
    <w:basedOn w:val="DefaultParagraphFont"/>
    <w:rsid w:val="00B3436C"/>
  </w:style>
  <w:style w:type="paragraph" w:styleId="Footer">
    <w:name w:val="footer"/>
    <w:basedOn w:val="Normal"/>
    <w:link w:val="FooterChar"/>
    <w:uiPriority w:val="99"/>
    <w:unhideWhenUsed/>
    <w:rsid w:val="00B3436C"/>
    <w:pPr>
      <w:tabs>
        <w:tab w:val="center" w:pos="4680"/>
        <w:tab w:val="right" w:pos="9360"/>
      </w:tabs>
      <w:spacing w:line="240" w:lineRule="auto"/>
    </w:pPr>
  </w:style>
  <w:style w:type="character" w:customStyle="1" w:styleId="FooterChar">
    <w:name w:val="Footer Char"/>
    <w:basedOn w:val="DefaultParagraphFont"/>
    <w:link w:val="Footer"/>
    <w:uiPriority w:val="99"/>
    <w:rsid w:val="00B3436C"/>
    <w:rPr>
      <w:rFonts w:ascii="Times New Roman" w:eastAsia="Times New Roman" w:hAnsi="Times New Roman" w:cs="Times New Roman"/>
      <w:color w:val="000000"/>
      <w:kern w:val="2"/>
      <w:sz w:val="24"/>
      <w:lang w:val="en-IN" w:eastAsia="en-IN"/>
      <w14:ligatures w14:val="standardContextual"/>
    </w:rPr>
  </w:style>
  <w:style w:type="table" w:customStyle="1" w:styleId="TableGrid">
    <w:name w:val="TableGrid"/>
    <w:rsid w:val="00F425AA"/>
    <w:pPr>
      <w:spacing w:after="0" w:line="240" w:lineRule="auto"/>
    </w:pPr>
    <w:rPr>
      <w:rFonts w:eastAsiaTheme="minorEastAsia"/>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43732">
      <w:bodyDiv w:val="1"/>
      <w:marLeft w:val="0"/>
      <w:marRight w:val="0"/>
      <w:marTop w:val="0"/>
      <w:marBottom w:val="0"/>
      <w:divBdr>
        <w:top w:val="none" w:sz="0" w:space="0" w:color="auto"/>
        <w:left w:val="none" w:sz="0" w:space="0" w:color="auto"/>
        <w:bottom w:val="none" w:sz="0" w:space="0" w:color="auto"/>
        <w:right w:val="none" w:sz="0" w:space="0" w:color="auto"/>
      </w:divBdr>
    </w:div>
    <w:div w:id="681250222">
      <w:bodyDiv w:val="1"/>
      <w:marLeft w:val="0"/>
      <w:marRight w:val="0"/>
      <w:marTop w:val="0"/>
      <w:marBottom w:val="0"/>
      <w:divBdr>
        <w:top w:val="none" w:sz="0" w:space="0" w:color="auto"/>
        <w:left w:val="none" w:sz="0" w:space="0" w:color="auto"/>
        <w:bottom w:val="none" w:sz="0" w:space="0" w:color="auto"/>
        <w:right w:val="none" w:sz="0" w:space="0" w:color="auto"/>
      </w:divBdr>
    </w:div>
    <w:div w:id="1417247333">
      <w:bodyDiv w:val="1"/>
      <w:marLeft w:val="0"/>
      <w:marRight w:val="0"/>
      <w:marTop w:val="0"/>
      <w:marBottom w:val="0"/>
      <w:divBdr>
        <w:top w:val="none" w:sz="0" w:space="0" w:color="auto"/>
        <w:left w:val="none" w:sz="0" w:space="0" w:color="auto"/>
        <w:bottom w:val="none" w:sz="0" w:space="0" w:color="auto"/>
        <w:right w:val="none" w:sz="0" w:space="0" w:color="auto"/>
      </w:divBdr>
    </w:div>
    <w:div w:id="17145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Karthik Reddy</cp:lastModifiedBy>
  <cp:revision>16</cp:revision>
  <dcterms:created xsi:type="dcterms:W3CDTF">2024-07-22T08:43:00Z</dcterms:created>
  <dcterms:modified xsi:type="dcterms:W3CDTF">2024-07-29T12:25:00Z</dcterms:modified>
</cp:coreProperties>
</file>