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A7BF" w14:textId="34029243" w:rsidR="00AF7330" w:rsidRDefault="00211977">
      <w:pPr>
        <w:spacing w:after="16" w:line="259" w:lineRule="auto"/>
        <w:ind w:left="10" w:right="350"/>
        <w:jc w:val="center"/>
        <w:rPr>
          <w:b/>
          <w:sz w:val="28"/>
          <w:szCs w:val="22"/>
        </w:rPr>
      </w:pPr>
      <w:r>
        <w:rPr>
          <w:b/>
          <w:sz w:val="28"/>
          <w:szCs w:val="22"/>
        </w:rPr>
        <w:t xml:space="preserve"> </w:t>
      </w:r>
      <w:r>
        <w:rPr>
          <w:b/>
          <w:sz w:val="28"/>
          <w:szCs w:val="22"/>
        </w:rPr>
        <w:tab/>
      </w:r>
    </w:p>
    <w:p w14:paraId="45B7F14B" w14:textId="77777777" w:rsidR="00A40284" w:rsidRDefault="00A40284">
      <w:pPr>
        <w:spacing w:after="16" w:line="259" w:lineRule="auto"/>
        <w:ind w:left="10" w:right="350"/>
        <w:jc w:val="center"/>
        <w:rPr>
          <w:b/>
          <w:sz w:val="28"/>
          <w:szCs w:val="22"/>
        </w:rPr>
      </w:pPr>
    </w:p>
    <w:p w14:paraId="3A06D300" w14:textId="77777777" w:rsidR="00D33861" w:rsidRDefault="00000000">
      <w:pPr>
        <w:spacing w:after="59" w:line="259" w:lineRule="auto"/>
        <w:ind w:left="0" w:right="346" w:firstLine="0"/>
        <w:jc w:val="center"/>
        <w:rPr>
          <w:rFonts w:ascii="Kokila" w:eastAsia="Kokila" w:hAnsi="Kokila" w:cs="Kokila"/>
          <w:i/>
          <w:sz w:val="40"/>
        </w:rPr>
      </w:pPr>
      <w:proofErr w:type="spellStart"/>
      <w:r>
        <w:rPr>
          <w:rFonts w:ascii="Kokila" w:eastAsia="Kokila" w:hAnsi="Kokila" w:cs="Kokila"/>
          <w:i/>
          <w:sz w:val="40"/>
        </w:rPr>
        <w:t>भारतीय</w:t>
      </w:r>
      <w:proofErr w:type="spellEnd"/>
      <w:r>
        <w:rPr>
          <w:rFonts w:ascii="Kokila" w:eastAsia="Kokila" w:hAnsi="Kokila" w:cs="Kokila"/>
          <w:i/>
          <w:sz w:val="40"/>
        </w:rPr>
        <w:t xml:space="preserve"> </w:t>
      </w:r>
      <w:proofErr w:type="spellStart"/>
      <w:r>
        <w:rPr>
          <w:rFonts w:ascii="Kokila" w:eastAsia="Kokila" w:hAnsi="Kokila" w:cs="Kokila"/>
          <w:i/>
          <w:sz w:val="40"/>
        </w:rPr>
        <w:t>मानक</w:t>
      </w:r>
      <w:proofErr w:type="spellEnd"/>
      <w:r>
        <w:rPr>
          <w:rFonts w:ascii="Kokila" w:eastAsia="Kokila" w:hAnsi="Kokila" w:cs="Kokila"/>
          <w:i/>
          <w:sz w:val="40"/>
        </w:rPr>
        <w:t xml:space="preserve"> </w:t>
      </w:r>
    </w:p>
    <w:p w14:paraId="55769F4D" w14:textId="298B440A" w:rsidR="007A387C" w:rsidRPr="007A387C" w:rsidRDefault="007A387C" w:rsidP="007A387C">
      <w:pPr>
        <w:tabs>
          <w:tab w:val="center" w:pos="4605"/>
          <w:tab w:val="center" w:pos="6900"/>
          <w:tab w:val="center" w:pos="7108"/>
        </w:tabs>
        <w:spacing w:after="0" w:line="240" w:lineRule="auto"/>
        <w:ind w:left="0" w:firstLine="0"/>
        <w:jc w:val="center"/>
        <w:rPr>
          <w:rFonts w:ascii="Kokila" w:eastAsia="Kokila" w:hAnsi="Kokila" w:cs="Kokila"/>
          <w:b/>
          <w:bCs/>
          <w:i/>
          <w:sz w:val="48"/>
          <w:szCs w:val="24"/>
        </w:rPr>
      </w:pPr>
      <w:proofErr w:type="spellStart"/>
      <w:r w:rsidRPr="007A387C">
        <w:rPr>
          <w:rFonts w:ascii="Kokila" w:eastAsia="Kokila" w:hAnsi="Kokila" w:cs="Kokila" w:hint="cs"/>
          <w:b/>
          <w:bCs/>
          <w:i/>
          <w:sz w:val="48"/>
          <w:szCs w:val="24"/>
        </w:rPr>
        <w:t>एंडोस्कोप</w:t>
      </w:r>
      <w:proofErr w:type="spellEnd"/>
      <w:r w:rsidRPr="007A387C">
        <w:rPr>
          <w:rFonts w:ascii="Kokila" w:eastAsia="Kokila" w:hAnsi="Kokila" w:cs="Kokila"/>
          <w:b/>
          <w:bCs/>
          <w:i/>
          <w:sz w:val="48"/>
          <w:szCs w:val="24"/>
        </w:rPr>
        <w:t xml:space="preserve"> - </w:t>
      </w:r>
      <w:proofErr w:type="spellStart"/>
      <w:r w:rsidRPr="007A387C">
        <w:rPr>
          <w:rFonts w:ascii="Kokila" w:eastAsia="Kokila" w:hAnsi="Kokila" w:cs="Kokila" w:hint="cs"/>
          <w:b/>
          <w:bCs/>
          <w:i/>
          <w:sz w:val="48"/>
          <w:szCs w:val="24"/>
        </w:rPr>
        <w:t>मेडिकल</w:t>
      </w:r>
      <w:proofErr w:type="spellEnd"/>
      <w:r w:rsidRPr="007A387C">
        <w:rPr>
          <w:rFonts w:ascii="Kokila" w:eastAsia="Kokila" w:hAnsi="Kokila" w:cs="Kokila"/>
          <w:b/>
          <w:bCs/>
          <w:i/>
          <w:sz w:val="48"/>
          <w:szCs w:val="24"/>
        </w:rPr>
        <w:t xml:space="preserve"> </w:t>
      </w:r>
      <w:proofErr w:type="spellStart"/>
      <w:r w:rsidRPr="007A387C">
        <w:rPr>
          <w:rFonts w:ascii="Kokila" w:eastAsia="Kokila" w:hAnsi="Kokila" w:cs="Kokila" w:hint="cs"/>
          <w:b/>
          <w:bCs/>
          <w:i/>
          <w:sz w:val="48"/>
          <w:szCs w:val="24"/>
        </w:rPr>
        <w:t>एंडोस्कोप</w:t>
      </w:r>
      <w:proofErr w:type="spellEnd"/>
      <w:r w:rsidRPr="007A387C">
        <w:rPr>
          <w:rFonts w:ascii="Kokila" w:eastAsia="Kokila" w:hAnsi="Kokila" w:cs="Kokila"/>
          <w:b/>
          <w:bCs/>
          <w:i/>
          <w:sz w:val="48"/>
          <w:szCs w:val="24"/>
        </w:rPr>
        <w:t xml:space="preserve"> </w:t>
      </w:r>
      <w:proofErr w:type="spellStart"/>
      <w:r w:rsidRPr="007A387C">
        <w:rPr>
          <w:rFonts w:ascii="Kokila" w:eastAsia="Kokila" w:hAnsi="Kokila" w:cs="Kokila" w:hint="cs"/>
          <w:b/>
          <w:bCs/>
          <w:i/>
          <w:sz w:val="48"/>
          <w:szCs w:val="24"/>
        </w:rPr>
        <w:t>और</w:t>
      </w:r>
      <w:proofErr w:type="spellEnd"/>
      <w:r w:rsidRPr="007A387C">
        <w:rPr>
          <w:rFonts w:ascii="Kokila" w:eastAsia="Kokila" w:hAnsi="Kokila" w:cs="Kokila"/>
          <w:b/>
          <w:bCs/>
          <w:i/>
          <w:sz w:val="48"/>
          <w:szCs w:val="24"/>
        </w:rPr>
        <w:t xml:space="preserve"> </w:t>
      </w:r>
      <w:proofErr w:type="spellStart"/>
      <w:r w:rsidRPr="007A387C">
        <w:rPr>
          <w:rFonts w:ascii="Kokila" w:eastAsia="Kokila" w:hAnsi="Kokila" w:cs="Kokila" w:hint="cs"/>
          <w:b/>
          <w:bCs/>
          <w:i/>
          <w:sz w:val="48"/>
          <w:szCs w:val="24"/>
        </w:rPr>
        <w:t>एंडोथेरेपी</w:t>
      </w:r>
      <w:proofErr w:type="spellEnd"/>
      <w:r w:rsidRPr="007A387C">
        <w:rPr>
          <w:rFonts w:ascii="Kokila" w:eastAsia="Kokila" w:hAnsi="Kokila" w:cs="Kokila"/>
          <w:b/>
          <w:bCs/>
          <w:i/>
          <w:sz w:val="48"/>
          <w:szCs w:val="24"/>
        </w:rPr>
        <w:t xml:space="preserve"> </w:t>
      </w:r>
      <w:proofErr w:type="spellStart"/>
      <w:r w:rsidRPr="007A387C">
        <w:rPr>
          <w:rFonts w:ascii="Kokila" w:eastAsia="Kokila" w:hAnsi="Kokila" w:cs="Kokila" w:hint="cs"/>
          <w:b/>
          <w:bCs/>
          <w:i/>
          <w:sz w:val="48"/>
          <w:szCs w:val="24"/>
        </w:rPr>
        <w:t>उपकरण</w:t>
      </w:r>
      <w:proofErr w:type="spellEnd"/>
    </w:p>
    <w:p w14:paraId="6E5C4CC7" w14:textId="2FCC2100" w:rsidR="00B53678" w:rsidRDefault="007A387C" w:rsidP="007A387C">
      <w:pPr>
        <w:tabs>
          <w:tab w:val="center" w:pos="4605"/>
          <w:tab w:val="center" w:pos="6900"/>
          <w:tab w:val="center" w:pos="7108"/>
        </w:tabs>
        <w:spacing w:after="0" w:line="240" w:lineRule="auto"/>
        <w:ind w:left="0" w:firstLine="0"/>
        <w:jc w:val="center"/>
        <w:rPr>
          <w:rFonts w:ascii="Kokila" w:eastAsia="Kokila" w:hAnsi="Kokila" w:cs="Kokila"/>
          <w:b/>
          <w:bCs/>
          <w:i/>
          <w:sz w:val="48"/>
          <w:szCs w:val="24"/>
        </w:rPr>
      </w:pPr>
      <w:proofErr w:type="spellStart"/>
      <w:r w:rsidRPr="007A387C">
        <w:rPr>
          <w:rFonts w:ascii="Kokila" w:eastAsia="Kokila" w:hAnsi="Kokila" w:cs="Kokila" w:hint="cs"/>
          <w:b/>
          <w:bCs/>
          <w:i/>
          <w:sz w:val="48"/>
          <w:szCs w:val="24"/>
        </w:rPr>
        <w:t>भाग</w:t>
      </w:r>
      <w:proofErr w:type="spellEnd"/>
      <w:r w:rsidRPr="007A387C">
        <w:rPr>
          <w:rFonts w:ascii="Kokila" w:eastAsia="Kokila" w:hAnsi="Kokila" w:cs="Kokila"/>
          <w:b/>
          <w:bCs/>
          <w:i/>
          <w:sz w:val="48"/>
          <w:szCs w:val="24"/>
        </w:rPr>
        <w:t xml:space="preserve"> 3</w:t>
      </w:r>
      <w:r w:rsid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एंडोस्कोप</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के</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दृश्य</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क्षेत्र</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और</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दृश्य</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दिशा</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का</w:t>
      </w:r>
      <w:proofErr w:type="spellEnd"/>
      <w:r w:rsidR="00F8153F" w:rsidRPr="00F8153F">
        <w:rPr>
          <w:rFonts w:ascii="Kokila" w:eastAsia="Kokila" w:hAnsi="Kokila" w:cs="Kokila"/>
          <w:b/>
          <w:bCs/>
          <w:i/>
          <w:sz w:val="48"/>
          <w:szCs w:val="24"/>
        </w:rPr>
        <w:t xml:space="preserve"> </w:t>
      </w:r>
      <w:proofErr w:type="spellStart"/>
      <w:r w:rsidR="00F8153F" w:rsidRPr="00F8153F">
        <w:rPr>
          <w:rFonts w:ascii="Kokila" w:eastAsia="Kokila" w:hAnsi="Kokila" w:cs="Kokila" w:hint="cs"/>
          <w:b/>
          <w:bCs/>
          <w:i/>
          <w:sz w:val="48"/>
          <w:szCs w:val="24"/>
        </w:rPr>
        <w:t>निर्धारण</w:t>
      </w:r>
      <w:proofErr w:type="spellEnd"/>
    </w:p>
    <w:p w14:paraId="50A4EFF5" w14:textId="08C3D497" w:rsidR="00B53678" w:rsidRPr="00B53678" w:rsidRDefault="00B53678" w:rsidP="007A387C">
      <w:pPr>
        <w:tabs>
          <w:tab w:val="center" w:pos="4605"/>
          <w:tab w:val="center" w:pos="6900"/>
          <w:tab w:val="center" w:pos="7108"/>
        </w:tabs>
        <w:spacing w:after="0" w:line="240" w:lineRule="auto"/>
        <w:ind w:left="0" w:firstLine="0"/>
        <w:jc w:val="center"/>
        <w:rPr>
          <w:rFonts w:ascii="Kokila" w:eastAsia="Kokila" w:hAnsi="Kokila" w:cs="Kokila"/>
          <w:i/>
          <w:sz w:val="48"/>
          <w:szCs w:val="24"/>
        </w:rPr>
      </w:pPr>
      <w:r w:rsidRPr="00B53678">
        <w:rPr>
          <w:rFonts w:ascii="Kokila" w:eastAsia="Kokila" w:hAnsi="Kokila" w:cs="Kokila"/>
          <w:i/>
          <w:sz w:val="48"/>
          <w:szCs w:val="24"/>
        </w:rPr>
        <w:t>(</w:t>
      </w:r>
      <w:proofErr w:type="spellStart"/>
      <w:r w:rsidRPr="00B53678">
        <w:rPr>
          <w:rFonts w:ascii="Kokila" w:eastAsia="Kokila" w:hAnsi="Kokila" w:cs="Kokila" w:hint="cs"/>
          <w:i/>
          <w:sz w:val="48"/>
          <w:szCs w:val="24"/>
        </w:rPr>
        <w:t>पहला</w:t>
      </w:r>
      <w:proofErr w:type="spellEnd"/>
      <w:r w:rsidRPr="00B53678">
        <w:rPr>
          <w:rFonts w:ascii="Kokila" w:eastAsia="Kokila" w:hAnsi="Kokila" w:cs="Kokila"/>
          <w:i/>
          <w:sz w:val="48"/>
          <w:szCs w:val="24"/>
        </w:rPr>
        <w:t xml:space="preserve"> </w:t>
      </w:r>
      <w:proofErr w:type="spellStart"/>
      <w:r w:rsidRPr="00B53678">
        <w:rPr>
          <w:rFonts w:ascii="Kokila" w:eastAsia="Kokila" w:hAnsi="Kokila" w:cs="Kokila" w:hint="cs"/>
          <w:i/>
          <w:sz w:val="48"/>
          <w:szCs w:val="24"/>
        </w:rPr>
        <w:t>पनुरीक्षण</w:t>
      </w:r>
      <w:proofErr w:type="spellEnd"/>
      <w:r w:rsidRPr="00B53678">
        <w:rPr>
          <w:rFonts w:ascii="Kokila" w:eastAsia="Kokila" w:hAnsi="Kokila" w:cs="Kokila"/>
          <w:i/>
          <w:sz w:val="48"/>
          <w:szCs w:val="24"/>
        </w:rPr>
        <w:t>)</w:t>
      </w:r>
    </w:p>
    <w:p w14:paraId="30264D30" w14:textId="624E3BE3" w:rsidR="001D28B1" w:rsidRPr="007A387C" w:rsidRDefault="003177CB" w:rsidP="007A387C">
      <w:pPr>
        <w:tabs>
          <w:tab w:val="center" w:pos="4605"/>
          <w:tab w:val="center" w:pos="6900"/>
          <w:tab w:val="center" w:pos="7108"/>
        </w:tabs>
        <w:spacing w:after="0" w:line="240" w:lineRule="auto"/>
        <w:ind w:left="0" w:firstLine="0"/>
        <w:jc w:val="center"/>
        <w:rPr>
          <w:sz w:val="18"/>
          <w:szCs w:val="13"/>
        </w:rPr>
      </w:pPr>
      <w:r>
        <w:rPr>
          <w:rFonts w:ascii="Kokila" w:eastAsia="Kokila" w:hAnsi="Kokila" w:cs="Kokila"/>
          <w:b/>
          <w:bCs/>
          <w:i/>
          <w:sz w:val="48"/>
          <w:szCs w:val="24"/>
        </w:rPr>
        <w:t xml:space="preserve"> </w:t>
      </w:r>
    </w:p>
    <w:p w14:paraId="486BF9F0" w14:textId="77777777" w:rsidR="001D28B1" w:rsidRDefault="00000000">
      <w:pPr>
        <w:spacing w:after="6" w:line="259" w:lineRule="auto"/>
        <w:ind w:left="3027" w:firstLine="0"/>
        <w:jc w:val="left"/>
      </w:pPr>
      <w:r>
        <w:rPr>
          <w:b/>
          <w:i/>
          <w:sz w:val="28"/>
        </w:rPr>
        <w:t xml:space="preserve"> </w:t>
      </w:r>
    </w:p>
    <w:p w14:paraId="71603B4F" w14:textId="77777777" w:rsidR="001D28B1" w:rsidRDefault="00000000">
      <w:pPr>
        <w:spacing w:after="9" w:line="259" w:lineRule="auto"/>
        <w:ind w:left="0" w:right="348" w:firstLine="0"/>
        <w:jc w:val="center"/>
      </w:pPr>
      <w:r>
        <w:rPr>
          <w:i/>
          <w:sz w:val="32"/>
        </w:rPr>
        <w:t xml:space="preserve">Indian Standard </w:t>
      </w:r>
    </w:p>
    <w:p w14:paraId="026B8CD0" w14:textId="451AD976" w:rsidR="001C2D86" w:rsidRDefault="007D0E3C" w:rsidP="00EE0BED">
      <w:pPr>
        <w:spacing w:after="0" w:line="259" w:lineRule="auto"/>
        <w:ind w:left="0" w:right="257" w:firstLine="0"/>
        <w:jc w:val="center"/>
        <w:rPr>
          <w:b/>
          <w:sz w:val="36"/>
        </w:rPr>
      </w:pPr>
      <w:r w:rsidRPr="007D0E3C">
        <w:rPr>
          <w:b/>
          <w:sz w:val="36"/>
        </w:rPr>
        <w:t>Endoscopes - Medical endoscopes and endotherapy devices Part 3 Determination of field of view and direction of view of endoscopes with optics</w:t>
      </w:r>
      <w:r w:rsidR="00213CFB">
        <w:rPr>
          <w:b/>
          <w:sz w:val="36"/>
        </w:rPr>
        <w:t xml:space="preserve"> </w:t>
      </w:r>
    </w:p>
    <w:p w14:paraId="427074E9" w14:textId="1FD1CEF5" w:rsidR="007A387C" w:rsidRPr="00266947" w:rsidRDefault="007A387C" w:rsidP="00EE0BED">
      <w:pPr>
        <w:spacing w:after="0" w:line="259" w:lineRule="auto"/>
        <w:ind w:left="0" w:right="257" w:firstLine="0"/>
        <w:jc w:val="center"/>
        <w:rPr>
          <w:bCs/>
          <w:i/>
          <w:iCs/>
          <w:sz w:val="32"/>
          <w:szCs w:val="18"/>
        </w:rPr>
      </w:pPr>
      <w:r w:rsidRPr="00266947">
        <w:rPr>
          <w:bCs/>
          <w:i/>
          <w:iCs/>
          <w:sz w:val="32"/>
          <w:szCs w:val="18"/>
        </w:rPr>
        <w:t>(First Revision)</w:t>
      </w:r>
    </w:p>
    <w:p w14:paraId="12E8678A" w14:textId="2B3A9B7B" w:rsidR="001D28B1" w:rsidRDefault="00000000" w:rsidP="00B15E03">
      <w:pPr>
        <w:spacing w:after="0" w:line="259" w:lineRule="auto"/>
        <w:ind w:left="0" w:right="257" w:firstLine="0"/>
        <w:jc w:val="center"/>
      </w:pPr>
      <w:r>
        <w:rPr>
          <w:b/>
          <w:sz w:val="36"/>
        </w:rPr>
        <w:t xml:space="preserve"> </w:t>
      </w:r>
    </w:p>
    <w:p w14:paraId="32CEF015" w14:textId="4E1DC100" w:rsidR="001D28B1" w:rsidRPr="006320C0" w:rsidRDefault="006320C0">
      <w:pPr>
        <w:spacing w:after="0" w:line="259" w:lineRule="auto"/>
        <w:ind w:left="0" w:right="292" w:firstLine="0"/>
        <w:jc w:val="center"/>
        <w:rPr>
          <w:b/>
          <w:bCs/>
        </w:rPr>
      </w:pPr>
      <w:r w:rsidRPr="006320C0">
        <w:rPr>
          <w:b/>
          <w:bCs/>
        </w:rPr>
        <w:t>ICS 11.040.55</w:t>
      </w:r>
    </w:p>
    <w:p w14:paraId="43C37E4F" w14:textId="3DD16E99" w:rsidR="001D28B1" w:rsidRDefault="00FB1778" w:rsidP="00FB1778">
      <w:pPr>
        <w:spacing w:after="160" w:line="259" w:lineRule="auto"/>
        <w:ind w:left="0" w:firstLine="0"/>
        <w:jc w:val="left"/>
      </w:pPr>
      <w:r>
        <w:br w:type="page"/>
      </w:r>
    </w:p>
    <w:p w14:paraId="0D56A643" w14:textId="7B683077" w:rsidR="001D28B1" w:rsidRDefault="00000000">
      <w:pPr>
        <w:spacing w:after="0" w:line="259" w:lineRule="auto"/>
        <w:ind w:left="146" w:firstLine="0"/>
        <w:jc w:val="left"/>
      </w:pPr>
      <w:r>
        <w:lastRenderedPageBreak/>
        <w:t xml:space="preserve"> </w:t>
      </w:r>
      <w:r>
        <w:rPr>
          <w:b/>
        </w:rPr>
        <w:t xml:space="preserve">NATIONAL FOREWORD </w:t>
      </w:r>
    </w:p>
    <w:p w14:paraId="50350E23" w14:textId="77777777" w:rsidR="001D28B1" w:rsidRDefault="00000000">
      <w:pPr>
        <w:spacing w:after="0" w:line="259" w:lineRule="auto"/>
        <w:ind w:left="146" w:firstLine="0"/>
        <w:jc w:val="left"/>
      </w:pPr>
      <w:r>
        <w:t xml:space="preserve"> </w:t>
      </w:r>
    </w:p>
    <w:p w14:paraId="48B173A6" w14:textId="4EC9C559" w:rsidR="00251B34" w:rsidRDefault="00251B34" w:rsidP="00266947">
      <w:pPr>
        <w:spacing w:after="0" w:line="259" w:lineRule="auto"/>
        <w:ind w:left="146" w:firstLine="0"/>
      </w:pPr>
      <w:r>
        <w:t xml:space="preserve">This Indian standard (Part </w:t>
      </w:r>
      <w:r>
        <w:t>3</w:t>
      </w:r>
      <w:r>
        <w:t>) is a</w:t>
      </w:r>
      <w:r>
        <w:t xml:space="preserve">n identical adoption of ISO 8600-3: 2019 </w:t>
      </w:r>
      <w:r w:rsidR="00D35FD8">
        <w:t>‘</w:t>
      </w:r>
      <w:r w:rsidR="00266947" w:rsidRPr="00266947">
        <w:t>Endoscopes — Medical endoscopes and endotherapy devices — Part 3: Determination of field of view and direction of view of endoscopes with optics</w:t>
      </w:r>
      <w:r w:rsidR="00D35FD8">
        <w:t>’</w:t>
      </w:r>
      <w:r w:rsidR="00266947">
        <w:t xml:space="preserve">, </w:t>
      </w:r>
      <w:r w:rsidR="00266947" w:rsidRPr="00547C18">
        <w:t xml:space="preserve">issued by the </w:t>
      </w:r>
      <w:r w:rsidR="00266947" w:rsidRPr="00266947">
        <w:t>International Organization for Standardization</w:t>
      </w:r>
      <w:r w:rsidR="00266947">
        <w:t>, was</w:t>
      </w:r>
      <w:r w:rsidR="00266947" w:rsidRPr="00547C18">
        <w:t xml:space="preserve"> adopted by Bureau of Indian Standards on the recommendation of </w:t>
      </w:r>
      <w:r w:rsidR="00266947">
        <w:t xml:space="preserve">Surgical Instruments </w:t>
      </w:r>
      <w:r w:rsidR="00266947" w:rsidRPr="003C59B8">
        <w:t>Sectional</w:t>
      </w:r>
      <w:r w:rsidR="00266947">
        <w:t xml:space="preserve"> </w:t>
      </w:r>
      <w:r w:rsidR="00266947" w:rsidRPr="003C59B8">
        <w:t>Committee</w:t>
      </w:r>
      <w:r w:rsidR="00266947">
        <w:t xml:space="preserve"> MHD </w:t>
      </w:r>
      <w:r w:rsidR="00266947">
        <w:t>01</w:t>
      </w:r>
      <w:r w:rsidR="00266947">
        <w:t xml:space="preserve"> </w:t>
      </w:r>
      <w:r w:rsidR="00266947" w:rsidRPr="00547C18">
        <w:t>and</w:t>
      </w:r>
      <w:r w:rsidR="00266947">
        <w:t xml:space="preserve"> </w:t>
      </w:r>
      <w:r w:rsidR="00266947" w:rsidRPr="00547C18">
        <w:t>approval of the Medical Equipment and Hospital Planning Division Council.</w:t>
      </w:r>
    </w:p>
    <w:p w14:paraId="39A9F395" w14:textId="18A9E48B" w:rsidR="001D28B1" w:rsidRDefault="00000000">
      <w:pPr>
        <w:spacing w:after="0" w:line="259" w:lineRule="auto"/>
        <w:ind w:left="146" w:firstLine="0"/>
        <w:jc w:val="left"/>
      </w:pPr>
      <w:r>
        <w:t xml:space="preserve"> </w:t>
      </w:r>
    </w:p>
    <w:p w14:paraId="6844FD92" w14:textId="111FBBD2" w:rsidR="0034319C" w:rsidRDefault="0034319C" w:rsidP="00766140">
      <w:pPr>
        <w:spacing w:after="0" w:line="259" w:lineRule="auto"/>
        <w:ind w:left="146" w:firstLine="0"/>
      </w:pPr>
      <w:r w:rsidRPr="0034319C">
        <w:t xml:space="preserve">This Standard was originally published in 2006 as IS 15732 (Part </w:t>
      </w:r>
      <w:r>
        <w:t>3</w:t>
      </w:r>
      <w:r w:rsidRPr="0034319C">
        <w:t xml:space="preserve">) : 2006 </w:t>
      </w:r>
      <w:r>
        <w:t xml:space="preserve">which </w:t>
      </w:r>
      <w:r w:rsidR="00923B9B">
        <w:t>was</w:t>
      </w:r>
      <w:r>
        <w:t xml:space="preserve"> an identical adoption of</w:t>
      </w:r>
      <w:r w:rsidRPr="0034319C">
        <w:t xml:space="preserve"> ISO 8600-</w:t>
      </w:r>
      <w:r>
        <w:t>3</w:t>
      </w:r>
      <w:r w:rsidRPr="0034319C">
        <w:t xml:space="preserve">: </w:t>
      </w:r>
      <w:r>
        <w:t>1997</w:t>
      </w:r>
      <w:r w:rsidRPr="0034319C">
        <w:t xml:space="preserve"> ‘Optics and Photonics — Medical endoscopes and endotherapy devices — Part </w:t>
      </w:r>
      <w:r>
        <w:t xml:space="preserve">3: </w:t>
      </w:r>
      <w:r w:rsidRPr="0034319C">
        <w:t>Determination of field of view and direction of view of endoscopes with optics</w:t>
      </w:r>
      <w:r>
        <w:t>’</w:t>
      </w:r>
      <w:r w:rsidRPr="0034319C">
        <w:t>. The first revision of this Standard has been undertaken to align it with the latest version of ISO 8600-</w:t>
      </w:r>
      <w:r w:rsidR="003010E5">
        <w:t>3</w:t>
      </w:r>
      <w:r w:rsidRPr="0034319C">
        <w:t xml:space="preserve"> : 201</w:t>
      </w:r>
      <w:r w:rsidR="003010E5">
        <w:t>9</w:t>
      </w:r>
      <w:r w:rsidRPr="0034319C">
        <w:t>.</w:t>
      </w:r>
    </w:p>
    <w:p w14:paraId="519A367D" w14:textId="77777777" w:rsidR="0034319C" w:rsidRDefault="0034319C">
      <w:pPr>
        <w:ind w:left="141" w:right="486"/>
      </w:pPr>
    </w:p>
    <w:p w14:paraId="70957B97" w14:textId="58FFCC14" w:rsidR="001D28B1" w:rsidRDefault="00000000" w:rsidP="00766140">
      <w:pPr>
        <w:spacing w:after="0" w:line="259" w:lineRule="auto"/>
        <w:ind w:left="146" w:firstLine="0"/>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1F927FC5" w14:textId="77777777" w:rsidR="005C1803" w:rsidRDefault="005C1803" w:rsidP="005C1803">
      <w:pPr>
        <w:spacing w:after="26"/>
        <w:ind w:left="697" w:right="664" w:firstLine="0"/>
      </w:pP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1D0F1067" w14:textId="77777777" w:rsidR="00444744" w:rsidRDefault="00444744" w:rsidP="00444744">
      <w:pPr>
        <w:ind w:left="141" w:right="486"/>
      </w:pPr>
      <w:r>
        <w:t xml:space="preserve">In this standard, reference appears to certain International Standards for which Indian Standards also exist. The corresponding Indian Standards, which are to be substituted in their places, are listed below along with their degree of equivalence for the editions indicated: </w:t>
      </w:r>
    </w:p>
    <w:p w14:paraId="65F50267" w14:textId="77777777" w:rsidR="00444744" w:rsidRDefault="00444744" w:rsidP="00444744">
      <w:pPr>
        <w:spacing w:after="0" w:line="259" w:lineRule="auto"/>
        <w:ind w:left="146" w:firstLine="0"/>
        <w:jc w:val="left"/>
      </w:pPr>
      <w:r>
        <w:t xml:space="preserve"> </w:t>
      </w:r>
    </w:p>
    <w:tbl>
      <w:tblPr>
        <w:tblStyle w:val="TableGrid"/>
        <w:tblW w:w="9609" w:type="dxa"/>
        <w:tblInd w:w="221" w:type="dxa"/>
        <w:tblLook w:val="04A0" w:firstRow="1" w:lastRow="0" w:firstColumn="1" w:lastColumn="0" w:noHBand="0" w:noVBand="1"/>
      </w:tblPr>
      <w:tblGrid>
        <w:gridCol w:w="4027"/>
        <w:gridCol w:w="4336"/>
        <w:gridCol w:w="1246"/>
      </w:tblGrid>
      <w:tr w:rsidR="00444744" w14:paraId="6AD718A4" w14:textId="77777777" w:rsidTr="00001DE2">
        <w:trPr>
          <w:trHeight w:val="618"/>
        </w:trPr>
        <w:tc>
          <w:tcPr>
            <w:tcW w:w="4027" w:type="dxa"/>
          </w:tcPr>
          <w:p w14:paraId="036A1219" w14:textId="77777777" w:rsidR="00444744" w:rsidRDefault="00444744" w:rsidP="00201BEB">
            <w:pPr>
              <w:spacing w:after="0" w:line="259" w:lineRule="auto"/>
              <w:ind w:left="0" w:right="220" w:firstLine="0"/>
              <w:jc w:val="center"/>
            </w:pPr>
            <w:r>
              <w:rPr>
                <w:i/>
              </w:rPr>
              <w:t xml:space="preserve">International Standard </w:t>
            </w:r>
          </w:p>
        </w:tc>
        <w:tc>
          <w:tcPr>
            <w:tcW w:w="4336" w:type="dxa"/>
          </w:tcPr>
          <w:p w14:paraId="1744F30B" w14:textId="77777777" w:rsidR="00444744" w:rsidRDefault="00444744" w:rsidP="00201BEB">
            <w:pPr>
              <w:spacing w:after="0" w:line="259" w:lineRule="auto"/>
              <w:ind w:left="1145" w:firstLine="0"/>
              <w:jc w:val="left"/>
            </w:pPr>
            <w:r>
              <w:rPr>
                <w:i/>
              </w:rPr>
              <w:t xml:space="preserve">Indian Standard </w:t>
            </w:r>
          </w:p>
        </w:tc>
        <w:tc>
          <w:tcPr>
            <w:tcW w:w="1246" w:type="dxa"/>
          </w:tcPr>
          <w:p w14:paraId="4B2CBC0C" w14:textId="77777777" w:rsidR="00444744" w:rsidRDefault="00444744" w:rsidP="00201BEB">
            <w:pPr>
              <w:spacing w:after="0" w:line="259" w:lineRule="auto"/>
              <w:ind w:left="0" w:firstLine="118"/>
              <w:jc w:val="left"/>
              <w:rPr>
                <w:i/>
              </w:rPr>
            </w:pPr>
            <w:r>
              <w:rPr>
                <w:i/>
              </w:rPr>
              <w:t>Degree of Equivalence</w:t>
            </w:r>
          </w:p>
          <w:p w14:paraId="0E36E40A" w14:textId="77777777" w:rsidR="00444744" w:rsidRDefault="00444744" w:rsidP="00201BEB">
            <w:pPr>
              <w:spacing w:after="0" w:line="259" w:lineRule="auto"/>
              <w:ind w:left="0" w:firstLine="118"/>
              <w:jc w:val="left"/>
            </w:pPr>
            <w:r>
              <w:rPr>
                <w:i/>
              </w:rPr>
              <w:t xml:space="preserve"> </w:t>
            </w:r>
          </w:p>
        </w:tc>
      </w:tr>
      <w:tr w:rsidR="00444744" w14:paraId="531D1E1F" w14:textId="77777777" w:rsidTr="00001DE2">
        <w:trPr>
          <w:trHeight w:val="1544"/>
        </w:trPr>
        <w:tc>
          <w:tcPr>
            <w:tcW w:w="4027" w:type="dxa"/>
          </w:tcPr>
          <w:p w14:paraId="1F299847" w14:textId="6DC77E1C" w:rsidR="00444744" w:rsidRDefault="00444744" w:rsidP="0043446A">
            <w:pPr>
              <w:spacing w:after="0" w:line="259" w:lineRule="auto"/>
              <w:ind w:left="56" w:right="130" w:firstLine="0"/>
            </w:pPr>
            <w:r>
              <w:t>ISO 8600-1:2015, Endoscopes — Medical endoscopes and endotherapy devices — Part 1: General requirements</w:t>
            </w:r>
          </w:p>
        </w:tc>
        <w:tc>
          <w:tcPr>
            <w:tcW w:w="4336" w:type="dxa"/>
          </w:tcPr>
          <w:p w14:paraId="5D6DE8A2" w14:textId="1E7439BF" w:rsidR="00EA1CC6" w:rsidRDefault="00EA1CC6" w:rsidP="00EA1CC6">
            <w:pPr>
              <w:spacing w:after="0" w:line="259" w:lineRule="auto"/>
              <w:ind w:left="140" w:firstLine="0"/>
              <w:jc w:val="left"/>
            </w:pPr>
            <w:r>
              <w:t>IS 15732 (Part 1): 2018</w:t>
            </w:r>
          </w:p>
          <w:p w14:paraId="38C6D33A" w14:textId="6BD81A84" w:rsidR="00444744" w:rsidRDefault="00EA1CC6" w:rsidP="00EA1CC6">
            <w:pPr>
              <w:spacing w:after="0" w:line="259" w:lineRule="auto"/>
              <w:ind w:left="140" w:firstLine="0"/>
              <w:jc w:val="left"/>
            </w:pPr>
            <w:r>
              <w:t>ISO 8600-1: 2015</w:t>
            </w:r>
          </w:p>
          <w:p w14:paraId="74217F09" w14:textId="77777777" w:rsidR="00EA1CC6" w:rsidRDefault="00EA1CC6" w:rsidP="00211917">
            <w:pPr>
              <w:spacing w:after="0" w:line="259" w:lineRule="auto"/>
              <w:ind w:left="140" w:right="226" w:firstLine="0"/>
            </w:pPr>
            <w:r w:rsidRPr="00EA1CC6">
              <w:t>Endoscopes - Medical Endoscopes and Endotherapy Devices Part 1 General Requirements (</w:t>
            </w:r>
            <w:r w:rsidRPr="00EA1CC6">
              <w:rPr>
                <w:i/>
                <w:iCs/>
              </w:rPr>
              <w:t>First Revision</w:t>
            </w:r>
            <w:r w:rsidRPr="00EA1CC6">
              <w:t>)</w:t>
            </w:r>
          </w:p>
          <w:p w14:paraId="7E423CE6" w14:textId="5B672145" w:rsidR="0096797E" w:rsidRDefault="0096797E" w:rsidP="00EA1CC6">
            <w:pPr>
              <w:spacing w:after="0" w:line="259" w:lineRule="auto"/>
              <w:ind w:left="140" w:firstLine="0"/>
              <w:jc w:val="left"/>
            </w:pPr>
          </w:p>
        </w:tc>
        <w:tc>
          <w:tcPr>
            <w:tcW w:w="1246" w:type="dxa"/>
          </w:tcPr>
          <w:p w14:paraId="4E274208" w14:textId="77777777" w:rsidR="00444744" w:rsidRDefault="00444744" w:rsidP="00201BEB">
            <w:pPr>
              <w:spacing w:after="0" w:line="259" w:lineRule="auto"/>
              <w:ind w:left="173" w:firstLine="0"/>
              <w:jc w:val="left"/>
            </w:pPr>
            <w:r>
              <w:t xml:space="preserve">Identical </w:t>
            </w:r>
          </w:p>
        </w:tc>
      </w:tr>
      <w:tr w:rsidR="00EA1CC6" w14:paraId="23C59061" w14:textId="77777777" w:rsidTr="00001DE2">
        <w:trPr>
          <w:trHeight w:val="1544"/>
        </w:trPr>
        <w:tc>
          <w:tcPr>
            <w:tcW w:w="4027" w:type="dxa"/>
          </w:tcPr>
          <w:p w14:paraId="5E387DD6" w14:textId="33B41F0F" w:rsidR="00EA1CC6" w:rsidRDefault="00A367EE" w:rsidP="0043446A">
            <w:pPr>
              <w:spacing w:after="0" w:line="259" w:lineRule="auto"/>
              <w:ind w:left="56" w:right="130" w:firstLine="0"/>
            </w:pPr>
            <w:r w:rsidRPr="00A367EE">
              <w:t>ISO 8600-6, Optics and photonics — Medical endoscopes and endotherapy devices — Part 6: Vocabulary</w:t>
            </w:r>
          </w:p>
        </w:tc>
        <w:tc>
          <w:tcPr>
            <w:tcW w:w="4336" w:type="dxa"/>
          </w:tcPr>
          <w:p w14:paraId="51F68519" w14:textId="51945A5D" w:rsidR="00EC0764" w:rsidRDefault="00EC0764" w:rsidP="00EC0764">
            <w:pPr>
              <w:spacing w:after="0" w:line="259" w:lineRule="auto"/>
              <w:ind w:left="140" w:firstLine="0"/>
              <w:jc w:val="left"/>
            </w:pPr>
            <w:r>
              <w:t>IS 15732 (Part 6): 2024</w:t>
            </w:r>
          </w:p>
          <w:p w14:paraId="795CEC9E" w14:textId="7B325895" w:rsidR="00EC0764" w:rsidRDefault="00EC0764" w:rsidP="00EC0764">
            <w:pPr>
              <w:spacing w:after="0" w:line="259" w:lineRule="auto"/>
              <w:ind w:left="140" w:firstLine="0"/>
              <w:jc w:val="left"/>
            </w:pPr>
            <w:r>
              <w:t>ISO 8600-6: 20</w:t>
            </w:r>
            <w:r w:rsidR="0043353D">
              <w:t>20</w:t>
            </w:r>
          </w:p>
          <w:p w14:paraId="7CEE4FBF" w14:textId="361F99CB" w:rsidR="00EC0764" w:rsidRDefault="00EC0764" w:rsidP="00EC0764">
            <w:pPr>
              <w:spacing w:after="0" w:line="259" w:lineRule="auto"/>
              <w:ind w:left="140" w:right="226" w:firstLine="0"/>
            </w:pPr>
            <w:r w:rsidRPr="00EA1CC6">
              <w:t xml:space="preserve">Endoscopes - Medical Endoscopes and Endotherapy Devices Part </w:t>
            </w:r>
            <w:r w:rsidR="003D03DF">
              <w:t xml:space="preserve">6 Vocabulary </w:t>
            </w:r>
          </w:p>
          <w:p w14:paraId="38406EF5" w14:textId="5995CDBD" w:rsidR="000B6F5F" w:rsidRDefault="000B6F5F" w:rsidP="007B7019">
            <w:pPr>
              <w:spacing w:after="0" w:line="259" w:lineRule="auto"/>
              <w:ind w:left="140" w:firstLine="0"/>
              <w:jc w:val="left"/>
            </w:pPr>
          </w:p>
        </w:tc>
        <w:tc>
          <w:tcPr>
            <w:tcW w:w="1246" w:type="dxa"/>
          </w:tcPr>
          <w:p w14:paraId="1AED7C48" w14:textId="07B781FD" w:rsidR="00EA1CC6" w:rsidRDefault="00EA1CC6" w:rsidP="00EA1CC6">
            <w:pPr>
              <w:spacing w:after="0" w:line="259" w:lineRule="auto"/>
              <w:ind w:left="173" w:firstLine="0"/>
              <w:jc w:val="left"/>
            </w:pPr>
            <w:r w:rsidRPr="00246C09">
              <w:t xml:space="preserve">Identical </w:t>
            </w:r>
          </w:p>
        </w:tc>
      </w:tr>
    </w:tbl>
    <w:p w14:paraId="0DAC10D9" w14:textId="77777777" w:rsidR="00444744" w:rsidRDefault="00444744" w:rsidP="008B33D5">
      <w:pPr>
        <w:spacing w:after="0" w:line="259" w:lineRule="auto"/>
        <w:ind w:left="146" w:firstLine="0"/>
        <w:jc w:val="left"/>
      </w:pPr>
    </w:p>
    <w:p w14:paraId="0936D943" w14:textId="507088B7" w:rsidR="001D28B1" w:rsidRDefault="00000000" w:rsidP="000D6670">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w:t>
      </w:r>
    </w:p>
    <w:sectPr w:rsidR="001D28B1" w:rsidSect="00B8234A">
      <w:headerReference w:type="even" r:id="rId7"/>
      <w:headerReference w:type="default" r:id="rId8"/>
      <w:headerReference w:type="first" r:id="rId9"/>
      <w:pgSz w:w="11906" w:h="16838"/>
      <w:pgMar w:top="2091" w:right="947" w:bottom="1134" w:left="986"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4F8E" w14:textId="77777777" w:rsidR="002B1609" w:rsidRDefault="002B1609">
      <w:pPr>
        <w:spacing w:after="0" w:line="240" w:lineRule="auto"/>
      </w:pPr>
      <w:r>
        <w:separator/>
      </w:r>
    </w:p>
  </w:endnote>
  <w:endnote w:type="continuationSeparator" w:id="0">
    <w:p w14:paraId="1F02DDC0" w14:textId="77777777" w:rsidR="002B1609" w:rsidRDefault="002B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E7" w14:textId="77777777" w:rsidR="002B1609" w:rsidRDefault="002B1609">
      <w:pPr>
        <w:spacing w:after="0" w:line="240" w:lineRule="auto"/>
      </w:pPr>
      <w:r>
        <w:separator/>
      </w:r>
    </w:p>
  </w:footnote>
  <w:footnote w:type="continuationSeparator" w:id="0">
    <w:p w14:paraId="2AF99FF3" w14:textId="77777777" w:rsidR="002B1609" w:rsidRDefault="002B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7DBFBD35" w:rsidR="00A12373" w:rsidRPr="00A12373" w:rsidRDefault="007E16D3" w:rsidP="00A12373">
    <w:pPr>
      <w:pStyle w:val="Header"/>
      <w:jc w:val="right"/>
      <w:rPr>
        <w:rFonts w:cs="Times New Roman"/>
        <w:b/>
      </w:rPr>
    </w:pPr>
    <w:r>
      <w:rPr>
        <w:rFonts w:cs="Times New Roman"/>
        <w:b/>
      </w:rPr>
      <w:t xml:space="preserve">Doc. No.: </w:t>
    </w:r>
    <w:r w:rsidR="00A12373" w:rsidRPr="00A12373">
      <w:rPr>
        <w:rFonts w:cs="Times New Roman"/>
        <w:b/>
      </w:rPr>
      <w:t>MHD</w:t>
    </w:r>
    <w:r>
      <w:rPr>
        <w:rFonts w:cs="Times New Roman"/>
        <w:b/>
      </w:rPr>
      <w:t xml:space="preserve"> </w:t>
    </w:r>
    <w:r w:rsidR="00A12373" w:rsidRPr="00A12373">
      <w:rPr>
        <w:rFonts w:cs="Times New Roman"/>
        <w:b/>
      </w:rPr>
      <w:t>01</w:t>
    </w:r>
    <w:r>
      <w:rPr>
        <w:rFonts w:cs="Times New Roman"/>
        <w:b/>
      </w:rPr>
      <w:t xml:space="preserve"> (</w:t>
    </w:r>
    <w:r w:rsidR="00B25918" w:rsidRPr="00B25918">
      <w:rPr>
        <w:rFonts w:cs="Times New Roman"/>
        <w:b/>
      </w:rPr>
      <w:t>26143</w:t>
    </w:r>
    <w:r>
      <w:rPr>
        <w:rFonts w:cs="Times New Roman"/>
        <w:b/>
      </w:rPr>
      <w:t xml:space="preserve">) </w:t>
    </w:r>
  </w:p>
  <w:p w14:paraId="7B99C5AB" w14:textId="7D4B5A56" w:rsidR="00BA21C5" w:rsidRDefault="00A12373" w:rsidP="00A12373">
    <w:pPr>
      <w:pStyle w:val="Header"/>
      <w:jc w:val="right"/>
      <w:rPr>
        <w:rFonts w:cs="Times New Roman"/>
        <w:b/>
      </w:rPr>
    </w:pPr>
    <w:r>
      <w:rPr>
        <w:rFonts w:cs="Times New Roman"/>
        <w:b/>
      </w:rPr>
      <w:t>IS</w:t>
    </w:r>
    <w:r w:rsidR="00BA21C5">
      <w:rPr>
        <w:rFonts w:cs="Times New Roman"/>
        <w:b/>
      </w:rPr>
      <w:t xml:space="preserve"> </w:t>
    </w:r>
    <w:r w:rsidR="00BA21C5" w:rsidRPr="00BA21C5">
      <w:rPr>
        <w:rFonts w:cs="Times New Roman"/>
        <w:b/>
      </w:rPr>
      <w:t>15732</w:t>
    </w:r>
    <w:r w:rsidR="00BA21C5">
      <w:rPr>
        <w:rFonts w:cs="Times New Roman"/>
        <w:b/>
      </w:rPr>
      <w:t xml:space="preserve"> (Part </w:t>
    </w:r>
    <w:r w:rsidR="00B25918">
      <w:rPr>
        <w:rFonts w:cs="Times New Roman"/>
        <w:b/>
      </w:rPr>
      <w:t>3</w:t>
    </w:r>
    <w:r w:rsidR="00BA21C5">
      <w:rPr>
        <w:rFonts w:cs="Times New Roman"/>
        <w:b/>
      </w:rPr>
      <w:t>): 2024</w:t>
    </w:r>
    <w:r>
      <w:rPr>
        <w:rFonts w:cs="Times New Roman"/>
        <w:b/>
      </w:rPr>
      <w:t xml:space="preserve"> </w:t>
    </w:r>
  </w:p>
  <w:p w14:paraId="277C4DF3" w14:textId="430273BC" w:rsidR="001D28B1" w:rsidRDefault="00A12373" w:rsidP="00A12373">
    <w:pPr>
      <w:pStyle w:val="Header"/>
      <w:jc w:val="right"/>
      <w:rPr>
        <w:rFonts w:cs="Times New Roman"/>
        <w:b/>
      </w:rPr>
    </w:pPr>
    <w:r w:rsidRPr="00A12373">
      <w:rPr>
        <w:rFonts w:cs="Times New Roman"/>
        <w:b/>
      </w:rPr>
      <w:t>ISO 8600-</w:t>
    </w:r>
    <w:r w:rsidR="00B25918">
      <w:rPr>
        <w:rFonts w:cs="Times New Roman"/>
        <w:b/>
      </w:rPr>
      <w:t>3</w:t>
    </w:r>
    <w:r w:rsidRPr="00A12373">
      <w:rPr>
        <w:rFonts w:cs="Times New Roman"/>
        <w:b/>
      </w:rPr>
      <w:t>:20</w:t>
    </w:r>
    <w:r w:rsidR="00B25918">
      <w:rPr>
        <w:rFonts w:cs="Times New Roman"/>
        <w:b/>
      </w:rPr>
      <w:t>19</w:t>
    </w:r>
  </w:p>
  <w:p w14:paraId="2788359E" w14:textId="1F99D51A" w:rsidR="005E6AFD" w:rsidRPr="00A12373" w:rsidRDefault="005E6AFD" w:rsidP="00A12373">
    <w:pPr>
      <w:pStyle w:val="Header"/>
      <w:jc w:val="right"/>
    </w:pPr>
    <w:r>
      <w:rPr>
        <w:rFonts w:cs="Times New Roman"/>
        <w:b/>
      </w:rPr>
      <w:t>[Superseding IS 15732 (Part 3): 2006/ ISO 8600-3: 1997]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E02B" w14:textId="77777777" w:rsidR="001D28B1" w:rsidRDefault="00000000">
    <w:pPr>
      <w:spacing w:after="0" w:line="259" w:lineRule="auto"/>
      <w:ind w:left="0" w:right="496" w:firstLine="0"/>
      <w:jc w:val="right"/>
    </w:pPr>
    <w:r>
      <w:rPr>
        <w:b/>
      </w:rPr>
      <w:t xml:space="preserve">MHD 19 (20252) </w:t>
    </w:r>
  </w:p>
  <w:p w14:paraId="57BD9701" w14:textId="77777777" w:rsidR="001D28B1" w:rsidRDefault="00000000">
    <w:pPr>
      <w:spacing w:after="0" w:line="259" w:lineRule="auto"/>
      <w:ind w:left="0" w:right="496" w:firstLine="0"/>
      <w:jc w:val="right"/>
    </w:pPr>
    <w:r>
      <w:rPr>
        <w:b/>
      </w:rPr>
      <w:t xml:space="preserve">IS 17932 (Part 2): 2023 </w:t>
    </w:r>
  </w:p>
  <w:p w14:paraId="1F56E2D9" w14:textId="77777777" w:rsidR="001D28B1" w:rsidRDefault="00000000">
    <w:pPr>
      <w:spacing w:after="0" w:line="239" w:lineRule="auto"/>
      <w:ind w:left="5304" w:right="491" w:firstLine="0"/>
      <w:jc w:val="right"/>
    </w:pPr>
    <w:r>
      <w:rPr>
        <w:b/>
      </w:rPr>
      <w:t xml:space="preserve">[Superseding IS/ ISO 10993-9: 2009] July 2023 </w:t>
    </w:r>
  </w:p>
  <w:p w14:paraId="63495E5F"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01DE2"/>
    <w:rsid w:val="00014CF9"/>
    <w:rsid w:val="00053B17"/>
    <w:rsid w:val="0005781C"/>
    <w:rsid w:val="0007299C"/>
    <w:rsid w:val="000729A5"/>
    <w:rsid w:val="000756DC"/>
    <w:rsid w:val="000B6F5F"/>
    <w:rsid w:val="000C416E"/>
    <w:rsid w:val="000D42E3"/>
    <w:rsid w:val="000D6670"/>
    <w:rsid w:val="00116337"/>
    <w:rsid w:val="00134A69"/>
    <w:rsid w:val="001356D7"/>
    <w:rsid w:val="00193783"/>
    <w:rsid w:val="001C0087"/>
    <w:rsid w:val="001C2D86"/>
    <w:rsid w:val="001D233F"/>
    <w:rsid w:val="001D28B1"/>
    <w:rsid w:val="001F0702"/>
    <w:rsid w:val="00211917"/>
    <w:rsid w:val="00211977"/>
    <w:rsid w:val="00213CFB"/>
    <w:rsid w:val="00234F59"/>
    <w:rsid w:val="002475FB"/>
    <w:rsid w:val="00251B34"/>
    <w:rsid w:val="00266947"/>
    <w:rsid w:val="002A3D54"/>
    <w:rsid w:val="002B1609"/>
    <w:rsid w:val="003010E5"/>
    <w:rsid w:val="00302776"/>
    <w:rsid w:val="003177CB"/>
    <w:rsid w:val="0034319C"/>
    <w:rsid w:val="00351F28"/>
    <w:rsid w:val="003D03DF"/>
    <w:rsid w:val="003E707C"/>
    <w:rsid w:val="00433230"/>
    <w:rsid w:val="0043353D"/>
    <w:rsid w:val="0043446A"/>
    <w:rsid w:val="00444744"/>
    <w:rsid w:val="00463383"/>
    <w:rsid w:val="00481A6F"/>
    <w:rsid w:val="00487FE5"/>
    <w:rsid w:val="00490843"/>
    <w:rsid w:val="004A1AB7"/>
    <w:rsid w:val="0050248E"/>
    <w:rsid w:val="005502A4"/>
    <w:rsid w:val="005554E5"/>
    <w:rsid w:val="00577913"/>
    <w:rsid w:val="0058640B"/>
    <w:rsid w:val="005C1803"/>
    <w:rsid w:val="005E6AFD"/>
    <w:rsid w:val="005F0AB5"/>
    <w:rsid w:val="00610655"/>
    <w:rsid w:val="006320C0"/>
    <w:rsid w:val="007147A9"/>
    <w:rsid w:val="00733D8A"/>
    <w:rsid w:val="00745B9E"/>
    <w:rsid w:val="00766140"/>
    <w:rsid w:val="00771A06"/>
    <w:rsid w:val="007A387C"/>
    <w:rsid w:val="007B7019"/>
    <w:rsid w:val="007C008D"/>
    <w:rsid w:val="007D0E3C"/>
    <w:rsid w:val="007E00E5"/>
    <w:rsid w:val="007E16D3"/>
    <w:rsid w:val="008100C9"/>
    <w:rsid w:val="008235D9"/>
    <w:rsid w:val="00830883"/>
    <w:rsid w:val="00842FA1"/>
    <w:rsid w:val="00861433"/>
    <w:rsid w:val="008700B2"/>
    <w:rsid w:val="00873E91"/>
    <w:rsid w:val="008B33D5"/>
    <w:rsid w:val="008E26A8"/>
    <w:rsid w:val="00911C57"/>
    <w:rsid w:val="00923B9B"/>
    <w:rsid w:val="0096797E"/>
    <w:rsid w:val="009A2BD8"/>
    <w:rsid w:val="00A12373"/>
    <w:rsid w:val="00A13573"/>
    <w:rsid w:val="00A1528A"/>
    <w:rsid w:val="00A15B97"/>
    <w:rsid w:val="00A3554E"/>
    <w:rsid w:val="00A367EE"/>
    <w:rsid w:val="00A40284"/>
    <w:rsid w:val="00A86104"/>
    <w:rsid w:val="00AF7330"/>
    <w:rsid w:val="00B15E03"/>
    <w:rsid w:val="00B16D9B"/>
    <w:rsid w:val="00B25918"/>
    <w:rsid w:val="00B4191D"/>
    <w:rsid w:val="00B53678"/>
    <w:rsid w:val="00B8234A"/>
    <w:rsid w:val="00BA21C5"/>
    <w:rsid w:val="00C12850"/>
    <w:rsid w:val="00C41719"/>
    <w:rsid w:val="00C7386D"/>
    <w:rsid w:val="00CB32F5"/>
    <w:rsid w:val="00D0060D"/>
    <w:rsid w:val="00D0067A"/>
    <w:rsid w:val="00D32C2C"/>
    <w:rsid w:val="00D33861"/>
    <w:rsid w:val="00D35FD8"/>
    <w:rsid w:val="00D569CE"/>
    <w:rsid w:val="00D93CEA"/>
    <w:rsid w:val="00DA7C9C"/>
    <w:rsid w:val="00DE7AF8"/>
    <w:rsid w:val="00EA1902"/>
    <w:rsid w:val="00EA1CC6"/>
    <w:rsid w:val="00EA40A5"/>
    <w:rsid w:val="00EA695B"/>
    <w:rsid w:val="00EC0764"/>
    <w:rsid w:val="00EE0BED"/>
    <w:rsid w:val="00F102AC"/>
    <w:rsid w:val="00F504EF"/>
    <w:rsid w:val="00F8153F"/>
    <w:rsid w:val="00F84C92"/>
    <w:rsid w:val="00F904C1"/>
    <w:rsid w:val="00F96549"/>
    <w:rsid w:val="00FB1778"/>
    <w:rsid w:val="00FC507B"/>
    <w:rsid w:val="00FD5726"/>
    <w:rsid w:val="00FF009B"/>
    <w:rsid w:val="00FF1260"/>
    <w:rsid w:val="00FF32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629">
      <w:bodyDiv w:val="1"/>
      <w:marLeft w:val="0"/>
      <w:marRight w:val="0"/>
      <w:marTop w:val="0"/>
      <w:marBottom w:val="0"/>
      <w:divBdr>
        <w:top w:val="none" w:sz="0" w:space="0" w:color="auto"/>
        <w:left w:val="none" w:sz="0" w:space="0" w:color="auto"/>
        <w:bottom w:val="none" w:sz="0" w:space="0" w:color="auto"/>
        <w:right w:val="none" w:sz="0" w:space="0" w:color="auto"/>
      </w:divBdr>
      <w:divsChild>
        <w:div w:id="949123721">
          <w:marLeft w:val="0"/>
          <w:marRight w:val="0"/>
          <w:marTop w:val="0"/>
          <w:marBottom w:val="0"/>
          <w:divBdr>
            <w:top w:val="none" w:sz="0" w:space="0" w:color="auto"/>
            <w:left w:val="none" w:sz="0" w:space="0" w:color="auto"/>
            <w:bottom w:val="none" w:sz="0" w:space="0" w:color="auto"/>
            <w:right w:val="none" w:sz="0" w:space="0" w:color="auto"/>
          </w:divBdr>
          <w:divsChild>
            <w:div w:id="19172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158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02">
          <w:marLeft w:val="-113"/>
          <w:marRight w:val="-113"/>
          <w:marTop w:val="0"/>
          <w:marBottom w:val="0"/>
          <w:divBdr>
            <w:top w:val="none" w:sz="0" w:space="0" w:color="auto"/>
            <w:left w:val="none" w:sz="0" w:space="0" w:color="auto"/>
            <w:bottom w:val="none" w:sz="0" w:space="0" w:color="auto"/>
            <w:right w:val="none" w:sz="0" w:space="0" w:color="auto"/>
          </w:divBdr>
        </w:div>
      </w:divsChild>
    </w:div>
    <w:div w:id="516240774">
      <w:bodyDiv w:val="1"/>
      <w:marLeft w:val="0"/>
      <w:marRight w:val="0"/>
      <w:marTop w:val="0"/>
      <w:marBottom w:val="0"/>
      <w:divBdr>
        <w:top w:val="none" w:sz="0" w:space="0" w:color="auto"/>
        <w:left w:val="none" w:sz="0" w:space="0" w:color="auto"/>
        <w:bottom w:val="none" w:sz="0" w:space="0" w:color="auto"/>
        <w:right w:val="none" w:sz="0" w:space="0" w:color="auto"/>
      </w:divBdr>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753167554">
      <w:bodyDiv w:val="1"/>
      <w:marLeft w:val="0"/>
      <w:marRight w:val="0"/>
      <w:marTop w:val="0"/>
      <w:marBottom w:val="0"/>
      <w:divBdr>
        <w:top w:val="none" w:sz="0" w:space="0" w:color="auto"/>
        <w:left w:val="none" w:sz="0" w:space="0" w:color="auto"/>
        <w:bottom w:val="none" w:sz="0" w:space="0" w:color="auto"/>
        <w:right w:val="none" w:sz="0" w:space="0" w:color="auto"/>
      </w:divBdr>
      <w:divsChild>
        <w:div w:id="1777167490">
          <w:marLeft w:val="0"/>
          <w:marRight w:val="0"/>
          <w:marTop w:val="0"/>
          <w:marBottom w:val="0"/>
          <w:divBdr>
            <w:top w:val="none" w:sz="0" w:space="0" w:color="auto"/>
            <w:left w:val="none" w:sz="0" w:space="0" w:color="auto"/>
            <w:bottom w:val="none" w:sz="0" w:space="0" w:color="auto"/>
            <w:right w:val="none" w:sz="0" w:space="0" w:color="auto"/>
          </w:divBdr>
          <w:divsChild>
            <w:div w:id="863439625">
              <w:marLeft w:val="0"/>
              <w:marRight w:val="0"/>
              <w:marTop w:val="0"/>
              <w:marBottom w:val="0"/>
              <w:divBdr>
                <w:top w:val="none" w:sz="0" w:space="0" w:color="auto"/>
                <w:left w:val="none" w:sz="0" w:space="0" w:color="auto"/>
                <w:bottom w:val="none" w:sz="0" w:space="0" w:color="auto"/>
                <w:right w:val="none" w:sz="0" w:space="0" w:color="auto"/>
              </w:divBdr>
              <w:divsChild>
                <w:div w:id="15776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2958">
          <w:marLeft w:val="0"/>
          <w:marRight w:val="0"/>
          <w:marTop w:val="0"/>
          <w:marBottom w:val="0"/>
          <w:divBdr>
            <w:top w:val="none" w:sz="0" w:space="0" w:color="auto"/>
            <w:left w:val="none" w:sz="0" w:space="0" w:color="auto"/>
            <w:bottom w:val="none" w:sz="0" w:space="0" w:color="auto"/>
            <w:right w:val="none" w:sz="0" w:space="0" w:color="auto"/>
          </w:divBdr>
          <w:divsChild>
            <w:div w:id="15835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59190">
      <w:bodyDiv w:val="1"/>
      <w:marLeft w:val="0"/>
      <w:marRight w:val="0"/>
      <w:marTop w:val="0"/>
      <w:marBottom w:val="0"/>
      <w:divBdr>
        <w:top w:val="none" w:sz="0" w:space="0" w:color="auto"/>
        <w:left w:val="none" w:sz="0" w:space="0" w:color="auto"/>
        <w:bottom w:val="none" w:sz="0" w:space="0" w:color="auto"/>
        <w:right w:val="none" w:sz="0" w:space="0" w:color="auto"/>
      </w:divBdr>
    </w:div>
    <w:div w:id="881671152">
      <w:bodyDiv w:val="1"/>
      <w:marLeft w:val="0"/>
      <w:marRight w:val="0"/>
      <w:marTop w:val="0"/>
      <w:marBottom w:val="0"/>
      <w:divBdr>
        <w:top w:val="none" w:sz="0" w:space="0" w:color="auto"/>
        <w:left w:val="none" w:sz="0" w:space="0" w:color="auto"/>
        <w:bottom w:val="none" w:sz="0" w:space="0" w:color="auto"/>
        <w:right w:val="none" w:sz="0" w:space="0" w:color="auto"/>
      </w:divBdr>
      <w:divsChild>
        <w:div w:id="705906523">
          <w:marLeft w:val="0"/>
          <w:marRight w:val="0"/>
          <w:marTop w:val="0"/>
          <w:marBottom w:val="0"/>
          <w:divBdr>
            <w:top w:val="none" w:sz="0" w:space="0" w:color="auto"/>
            <w:left w:val="none" w:sz="0" w:space="0" w:color="auto"/>
            <w:bottom w:val="none" w:sz="0" w:space="0" w:color="auto"/>
            <w:right w:val="none" w:sz="0" w:space="0" w:color="auto"/>
          </w:divBdr>
          <w:divsChild>
            <w:div w:id="1553619088">
              <w:marLeft w:val="0"/>
              <w:marRight w:val="0"/>
              <w:marTop w:val="0"/>
              <w:marBottom w:val="0"/>
              <w:divBdr>
                <w:top w:val="none" w:sz="0" w:space="0" w:color="auto"/>
                <w:left w:val="none" w:sz="0" w:space="0" w:color="auto"/>
                <w:bottom w:val="none" w:sz="0" w:space="0" w:color="auto"/>
                <w:right w:val="none" w:sz="0" w:space="0" w:color="auto"/>
              </w:divBdr>
              <w:divsChild>
                <w:div w:id="17249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6948">
          <w:marLeft w:val="0"/>
          <w:marRight w:val="0"/>
          <w:marTop w:val="0"/>
          <w:marBottom w:val="0"/>
          <w:divBdr>
            <w:top w:val="none" w:sz="0" w:space="0" w:color="auto"/>
            <w:left w:val="none" w:sz="0" w:space="0" w:color="auto"/>
            <w:bottom w:val="none" w:sz="0" w:space="0" w:color="auto"/>
            <w:right w:val="none" w:sz="0" w:space="0" w:color="auto"/>
          </w:divBdr>
          <w:divsChild>
            <w:div w:id="467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4743">
      <w:bodyDiv w:val="1"/>
      <w:marLeft w:val="0"/>
      <w:marRight w:val="0"/>
      <w:marTop w:val="0"/>
      <w:marBottom w:val="0"/>
      <w:divBdr>
        <w:top w:val="none" w:sz="0" w:space="0" w:color="auto"/>
        <w:left w:val="none" w:sz="0" w:space="0" w:color="auto"/>
        <w:bottom w:val="none" w:sz="0" w:space="0" w:color="auto"/>
        <w:right w:val="none" w:sz="0" w:space="0" w:color="auto"/>
      </w:divBdr>
      <w:divsChild>
        <w:div w:id="832990364">
          <w:marLeft w:val="0"/>
          <w:marRight w:val="0"/>
          <w:marTop w:val="0"/>
          <w:marBottom w:val="0"/>
          <w:divBdr>
            <w:top w:val="none" w:sz="0" w:space="0" w:color="auto"/>
            <w:left w:val="none" w:sz="0" w:space="0" w:color="auto"/>
            <w:bottom w:val="none" w:sz="0" w:space="0" w:color="auto"/>
            <w:right w:val="none" w:sz="0" w:space="0" w:color="auto"/>
          </w:divBdr>
          <w:divsChild>
            <w:div w:id="1907298533">
              <w:marLeft w:val="0"/>
              <w:marRight w:val="0"/>
              <w:marTop w:val="0"/>
              <w:marBottom w:val="0"/>
              <w:divBdr>
                <w:top w:val="none" w:sz="0" w:space="0" w:color="auto"/>
                <w:left w:val="none" w:sz="0" w:space="0" w:color="auto"/>
                <w:bottom w:val="none" w:sz="0" w:space="0" w:color="auto"/>
                <w:right w:val="none" w:sz="0" w:space="0" w:color="auto"/>
              </w:divBdr>
              <w:divsChild>
                <w:div w:id="20962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4236">
      <w:bodyDiv w:val="1"/>
      <w:marLeft w:val="0"/>
      <w:marRight w:val="0"/>
      <w:marTop w:val="0"/>
      <w:marBottom w:val="0"/>
      <w:divBdr>
        <w:top w:val="none" w:sz="0" w:space="0" w:color="auto"/>
        <w:left w:val="none" w:sz="0" w:space="0" w:color="auto"/>
        <w:bottom w:val="none" w:sz="0" w:space="0" w:color="auto"/>
        <w:right w:val="none" w:sz="0" w:space="0" w:color="auto"/>
      </w:divBdr>
      <w:divsChild>
        <w:div w:id="1265574609">
          <w:marLeft w:val="0"/>
          <w:marRight w:val="0"/>
          <w:marTop w:val="0"/>
          <w:marBottom w:val="0"/>
          <w:divBdr>
            <w:top w:val="none" w:sz="0" w:space="0" w:color="auto"/>
            <w:left w:val="none" w:sz="0" w:space="0" w:color="auto"/>
            <w:bottom w:val="none" w:sz="0" w:space="0" w:color="auto"/>
            <w:right w:val="none" w:sz="0" w:space="0" w:color="auto"/>
          </w:divBdr>
        </w:div>
        <w:div w:id="798649830">
          <w:marLeft w:val="0"/>
          <w:marRight w:val="0"/>
          <w:marTop w:val="0"/>
          <w:marBottom w:val="0"/>
          <w:divBdr>
            <w:top w:val="none" w:sz="0" w:space="0" w:color="auto"/>
            <w:left w:val="none" w:sz="0" w:space="0" w:color="auto"/>
            <w:bottom w:val="none" w:sz="0" w:space="0" w:color="auto"/>
            <w:right w:val="none" w:sz="0" w:space="0" w:color="auto"/>
          </w:divBdr>
        </w:div>
      </w:divsChild>
    </w:div>
    <w:div w:id="1284077903">
      <w:bodyDiv w:val="1"/>
      <w:marLeft w:val="0"/>
      <w:marRight w:val="0"/>
      <w:marTop w:val="0"/>
      <w:marBottom w:val="0"/>
      <w:divBdr>
        <w:top w:val="none" w:sz="0" w:space="0" w:color="auto"/>
        <w:left w:val="none" w:sz="0" w:space="0" w:color="auto"/>
        <w:bottom w:val="none" w:sz="0" w:space="0" w:color="auto"/>
        <w:right w:val="none" w:sz="0" w:space="0" w:color="auto"/>
      </w:divBdr>
      <w:divsChild>
        <w:div w:id="1567758818">
          <w:marLeft w:val="0"/>
          <w:marRight w:val="0"/>
          <w:marTop w:val="0"/>
          <w:marBottom w:val="0"/>
          <w:divBdr>
            <w:top w:val="none" w:sz="0" w:space="0" w:color="auto"/>
            <w:left w:val="none" w:sz="0" w:space="0" w:color="auto"/>
            <w:bottom w:val="none" w:sz="0" w:space="0" w:color="auto"/>
            <w:right w:val="none" w:sz="0" w:space="0" w:color="auto"/>
          </w:divBdr>
          <w:divsChild>
            <w:div w:id="16627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877">
      <w:bodyDiv w:val="1"/>
      <w:marLeft w:val="0"/>
      <w:marRight w:val="0"/>
      <w:marTop w:val="0"/>
      <w:marBottom w:val="0"/>
      <w:divBdr>
        <w:top w:val="none" w:sz="0" w:space="0" w:color="auto"/>
        <w:left w:val="none" w:sz="0" w:space="0" w:color="auto"/>
        <w:bottom w:val="none" w:sz="0" w:space="0" w:color="auto"/>
        <w:right w:val="none" w:sz="0" w:space="0" w:color="auto"/>
      </w:divBdr>
      <w:divsChild>
        <w:div w:id="1509714981">
          <w:marLeft w:val="0"/>
          <w:marRight w:val="0"/>
          <w:marTop w:val="0"/>
          <w:marBottom w:val="0"/>
          <w:divBdr>
            <w:top w:val="none" w:sz="0" w:space="0" w:color="auto"/>
            <w:left w:val="none" w:sz="0" w:space="0" w:color="auto"/>
            <w:bottom w:val="none" w:sz="0" w:space="0" w:color="auto"/>
            <w:right w:val="none" w:sz="0" w:space="0" w:color="auto"/>
          </w:divBdr>
          <w:divsChild>
            <w:div w:id="1129667065">
              <w:marLeft w:val="0"/>
              <w:marRight w:val="0"/>
              <w:marTop w:val="0"/>
              <w:marBottom w:val="0"/>
              <w:divBdr>
                <w:top w:val="none" w:sz="0" w:space="0" w:color="auto"/>
                <w:left w:val="none" w:sz="0" w:space="0" w:color="auto"/>
                <w:bottom w:val="none" w:sz="0" w:space="0" w:color="auto"/>
                <w:right w:val="none" w:sz="0" w:space="0" w:color="auto"/>
              </w:divBdr>
              <w:divsChild>
                <w:div w:id="8572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153</cp:revision>
  <cp:lastPrinted>2024-04-15T09:55:00Z</cp:lastPrinted>
  <dcterms:created xsi:type="dcterms:W3CDTF">2024-04-15T08:35:00Z</dcterms:created>
  <dcterms:modified xsi:type="dcterms:W3CDTF">2024-09-23T06:38:00Z</dcterms:modified>
</cp:coreProperties>
</file>