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Nirmala UI" w:cs="Nirmala UI" w:eastAsia="Nirmala UI" w:hAnsi="Nirmala UI"/>
          <w:i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Nirmala UI" w:cs="Nirmala UI" w:eastAsia="Nirmala UI" w:hAnsi="Nirmala UI"/>
          <w:i w:val="1"/>
          <w:sz w:val="24"/>
          <w:szCs w:val="24"/>
        </w:rPr>
      </w:pPr>
      <w:r w:rsidDel="00000000" w:rsidR="00000000" w:rsidRPr="00000000">
        <w:rPr>
          <w:rFonts w:ascii="Nirmala UI" w:cs="Nirmala UI" w:eastAsia="Nirmala UI" w:hAnsi="Nirmala UI"/>
          <w:i w:val="1"/>
          <w:sz w:val="24"/>
          <w:szCs w:val="24"/>
          <w:rtl w:val="0"/>
        </w:rPr>
        <w:t xml:space="preserve">भारतीय मानक</w:t>
      </w:r>
    </w:p>
    <w:p w:rsidR="00000000" w:rsidDel="00000000" w:rsidP="00000000" w:rsidRDefault="00000000" w:rsidRPr="00000000" w14:paraId="00000006">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Nirmala UI" w:cs="Nirmala UI" w:eastAsia="Nirmala UI" w:hAnsi="Nirmala UI"/>
          <w:b w:val="1"/>
          <w:sz w:val="24"/>
          <w:szCs w:val="24"/>
          <w:shd w:fill="fcfdfe" w:val="clear"/>
        </w:rPr>
      </w:pPr>
      <w:r w:rsidDel="00000000" w:rsidR="00000000" w:rsidRPr="00000000">
        <w:rPr>
          <w:rFonts w:ascii="Nirmala UI" w:cs="Nirmala UI" w:eastAsia="Nirmala UI" w:hAnsi="Nirmala UI"/>
          <w:b w:val="1"/>
          <w:sz w:val="24"/>
          <w:szCs w:val="24"/>
          <w:shd w:fill="fcfdfe" w:val="clear"/>
          <w:rtl w:val="0"/>
        </w:rPr>
        <w:t xml:space="preserve">मशीनरी की सुरक्षा — आईएसओ 12100 के साथ संबंध</w:t>
      </w:r>
    </w:p>
    <w:p w:rsidR="00000000" w:rsidDel="00000000" w:rsidP="00000000" w:rsidRDefault="00000000" w:rsidRPr="00000000" w14:paraId="00000008">
      <w:pPr>
        <w:spacing w:after="0" w:line="240" w:lineRule="auto"/>
        <w:jc w:val="center"/>
        <w:rPr>
          <w:rFonts w:ascii="Nirmala UI" w:cs="Nirmala UI" w:eastAsia="Nirmala UI" w:hAnsi="Nirmala UI"/>
          <w:b w:val="1"/>
          <w:sz w:val="24"/>
          <w:szCs w:val="24"/>
          <w:shd w:fill="fcfdfe" w:val="clear"/>
        </w:rPr>
      </w:pPr>
      <w:r w:rsidDel="00000000" w:rsidR="00000000" w:rsidRPr="00000000">
        <w:rPr>
          <w:rFonts w:ascii="Nirmala UI" w:cs="Nirmala UI" w:eastAsia="Nirmala UI" w:hAnsi="Nirmala UI"/>
          <w:b w:val="1"/>
          <w:sz w:val="24"/>
          <w:szCs w:val="24"/>
          <w:shd w:fill="fcfdfe" w:val="clear"/>
          <w:rtl w:val="0"/>
        </w:rPr>
        <w:t xml:space="preserve">भाग 4 संबंधित आईटी-सुरक्षा (साइबर सुरक्षा) पहलुओं पर विचार करने के लिए मशीनरी निर्माताओं को मार्गदर्शन</w:t>
      </w:r>
    </w:p>
    <w:p w:rsidR="00000000" w:rsidDel="00000000" w:rsidP="00000000" w:rsidRDefault="00000000" w:rsidRPr="00000000" w14:paraId="00000009">
      <w:pPr>
        <w:spacing w:after="0" w:line="240" w:lineRule="auto"/>
        <w:jc w:val="center"/>
        <w:rPr>
          <w:rFonts w:ascii="Nirmala UI" w:cs="Nirmala UI" w:eastAsia="Nirmala UI" w:hAnsi="Nirmala UI"/>
          <w:b w:val="1"/>
          <w:sz w:val="24"/>
          <w:szCs w:val="24"/>
          <w:shd w:fill="fcfdfe" w:val="clear"/>
        </w:rPr>
      </w:pPr>
      <w:r w:rsidDel="00000000" w:rsidR="00000000" w:rsidRPr="00000000">
        <w:rPr>
          <w:rtl w:val="0"/>
        </w:rPr>
      </w:r>
    </w:p>
    <w:p w:rsidR="00000000" w:rsidDel="00000000" w:rsidP="00000000" w:rsidRDefault="00000000" w:rsidRPr="00000000" w14:paraId="0000000A">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Indian Standard</w:t>
      </w:r>
    </w:p>
    <w:p w:rsidR="00000000" w:rsidDel="00000000" w:rsidP="00000000" w:rsidRDefault="00000000" w:rsidRPr="00000000" w14:paraId="0000000E">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Fonts w:ascii="Times New Roman" w:cs="Times New Roman" w:eastAsia="Times New Roman" w:hAnsi="Times New Roman"/>
          <w:b w:val="1"/>
          <w:sz w:val="24"/>
          <w:szCs w:val="24"/>
          <w:shd w:fill="fcfdfe" w:val="clear"/>
          <w:rtl w:val="0"/>
        </w:rPr>
        <w:t xml:space="preserve">Safety of Machinery — Relationship with ISO 12100</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Fonts w:ascii="Times New Roman" w:cs="Times New Roman" w:eastAsia="Times New Roman" w:hAnsi="Times New Roman"/>
          <w:b w:val="1"/>
          <w:sz w:val="24"/>
          <w:szCs w:val="24"/>
          <w:shd w:fill="fcfdfe" w:val="clear"/>
          <w:rtl w:val="0"/>
        </w:rPr>
        <w:t xml:space="preserve">Part 4 Guidance to Machinery Manufacturers</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Fonts w:ascii="Times New Roman" w:cs="Times New Roman" w:eastAsia="Times New Roman" w:hAnsi="Times New Roman"/>
          <w:b w:val="1"/>
          <w:sz w:val="24"/>
          <w:szCs w:val="24"/>
          <w:shd w:fill="fcfdfe" w:val="clear"/>
          <w:rtl w:val="0"/>
        </w:rPr>
        <w:t xml:space="preserve">for Consideration of Related it-Security</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Fonts w:ascii="Times New Roman" w:cs="Times New Roman" w:eastAsia="Times New Roman" w:hAnsi="Times New Roman"/>
          <w:b w:val="1"/>
          <w:sz w:val="24"/>
          <w:szCs w:val="24"/>
          <w:shd w:fill="fcfdfe" w:val="clear"/>
          <w:rtl w:val="0"/>
        </w:rPr>
        <w:t xml:space="preserve">(Cyber Security) Aspects</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4"/>
          <w:szCs w:val="24"/>
          <w:shd w:fill="fcfdfe" w:val="clear"/>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ICS </w:t>
      </w:r>
      <w:r w:rsidDel="00000000" w:rsidR="00000000" w:rsidRPr="00000000">
        <w:rPr>
          <w:rFonts w:ascii="Times New Roman" w:cs="Times New Roman" w:eastAsia="Times New Roman" w:hAnsi="Times New Roman"/>
          <w:color w:val="231f20"/>
          <w:sz w:val="24"/>
          <w:szCs w:val="24"/>
          <w:rtl w:val="0"/>
        </w:rPr>
        <w:t xml:space="preserve">13.110</w:t>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Mangal" w:cs="Mangal" w:eastAsia="Mangal" w:hAnsi="Mangal"/>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bookmarkStart w:colFirst="0" w:colLast="0" w:name="_heading=h.l83xysbewn5l" w:id="0"/>
      <w:bookmarkEnd w:id="0"/>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bookmarkStart w:colFirst="0" w:colLast="0" w:name="_heading=h.x55ff510m8ye" w:id="1"/>
      <w:bookmarkEnd w:id="1"/>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 BIS 2024</w:t>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ISO 2018</w:t>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Nirmala UI" w:cs="Nirmala UI" w:eastAsia="Nirmala UI" w:hAnsi="Nirmala UI"/>
          <w:sz w:val="24"/>
          <w:szCs w:val="24"/>
          <w:rtl w:val="0"/>
        </w:rPr>
        <w:t xml:space="preserve">भारतीय</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मानक</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ब्यूरो</w:t>
      </w:r>
      <w:r w:rsidDel="00000000" w:rsidR="00000000" w:rsidRPr="00000000">
        <w:rPr>
          <w:rtl w:val="0"/>
        </w:rPr>
      </w:r>
    </w:p>
    <w:p w:rsidR="00000000" w:rsidDel="00000000" w:rsidP="00000000" w:rsidRDefault="00000000" w:rsidRPr="00000000" w14:paraId="00000024">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U R E A U  O F  I N D I A N  S T A N D A R D S</w:t>
      </w:r>
    </w:p>
    <w:p w:rsidR="00000000" w:rsidDel="00000000" w:rsidP="00000000" w:rsidRDefault="00000000" w:rsidRPr="00000000" w14:paraId="00000025">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Nirmala UI" w:cs="Nirmala UI" w:eastAsia="Nirmala UI" w:hAnsi="Nirmala UI"/>
          <w:sz w:val="24"/>
          <w:szCs w:val="24"/>
          <w:rtl w:val="0"/>
        </w:rPr>
        <w:t xml:space="preserve">मानक</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भवन</w:t>
      </w:r>
      <w:r w:rsidDel="00000000" w:rsidR="00000000" w:rsidRPr="00000000">
        <w:rPr>
          <w:rFonts w:ascii="Times New Roman" w:cs="Times New Roman" w:eastAsia="Times New Roman" w:hAnsi="Times New Roman"/>
          <w:sz w:val="24"/>
          <w:szCs w:val="24"/>
          <w:rtl w:val="0"/>
        </w:rPr>
        <w:t xml:space="preserve">,  9  </w:t>
      </w:r>
      <w:r w:rsidDel="00000000" w:rsidR="00000000" w:rsidRPr="00000000">
        <w:rPr>
          <w:rFonts w:ascii="Nirmala UI" w:cs="Nirmala UI" w:eastAsia="Nirmala UI" w:hAnsi="Nirmala UI"/>
          <w:sz w:val="24"/>
          <w:szCs w:val="24"/>
          <w:rtl w:val="0"/>
        </w:rPr>
        <w:t xml:space="preserve">बहादुरशाह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ज़फर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मार्ग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नई</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irmala UI" w:cs="Nirmala UI" w:eastAsia="Nirmala UI" w:hAnsi="Nirmala UI"/>
          <w:sz w:val="24"/>
          <w:szCs w:val="24"/>
          <w:rtl w:val="0"/>
        </w:rPr>
        <w:t xml:space="preserve">दिल्ली</w:t>
      </w:r>
      <w:r w:rsidDel="00000000" w:rsidR="00000000" w:rsidRPr="00000000">
        <w:rPr>
          <w:rFonts w:ascii="Times New Roman" w:cs="Times New Roman" w:eastAsia="Times New Roman" w:hAnsi="Times New Roman"/>
          <w:sz w:val="24"/>
          <w:szCs w:val="24"/>
          <w:rtl w:val="0"/>
        </w:rPr>
        <w:t xml:space="preserve"> 110002</w:t>
      </w:r>
    </w:p>
    <w:p w:rsidR="00000000" w:rsidDel="00000000" w:rsidP="00000000" w:rsidRDefault="00000000" w:rsidRPr="00000000" w14:paraId="00000026">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MANAK BHAVAN, 9 BAHADUR SHAH ZAFAR MARG,</w:t>
      </w:r>
    </w:p>
    <w:p w:rsidR="00000000" w:rsidDel="00000000" w:rsidP="00000000" w:rsidRDefault="00000000" w:rsidRPr="00000000" w14:paraId="00000027">
      <w:pPr>
        <w:tabs>
          <w:tab w:val="left" w:leader="none" w:pos="579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DELHI 110002</w:t>
      </w:r>
    </w:p>
    <w:p w:rsidR="00000000" w:rsidDel="00000000" w:rsidP="00000000" w:rsidRDefault="00000000" w:rsidRPr="00000000" w14:paraId="00000028">
      <w:pPr>
        <w:spacing w:after="0" w:line="240" w:lineRule="auto"/>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www.bis.gov.in</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www.standardsbis.in</w:t>
      </w: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2024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Price Group</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of Machinery Sectional Committee, MED 40</w:t>
      </w:r>
    </w:p>
    <w:p w:rsidR="00000000" w:rsidDel="00000000" w:rsidP="00000000" w:rsidRDefault="00000000" w:rsidRPr="00000000" w14:paraId="00000033">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NATIONAL </w:t>
      </w:r>
      <w:r w:rsidDel="00000000" w:rsidR="00000000" w:rsidRPr="00000000">
        <w:rPr>
          <w:rFonts w:ascii="Times New Roman" w:cs="Times New Roman" w:eastAsia="Times New Roman" w:hAnsi="Times New Roman"/>
          <w:color w:val="000000"/>
          <w:sz w:val="20"/>
          <w:szCs w:val="20"/>
          <w:rtl w:val="0"/>
        </w:rPr>
        <w:t xml:space="preserve">FOREWORD</w:t>
      </w:r>
    </w:p>
    <w:p w:rsidR="00000000" w:rsidDel="00000000" w:rsidP="00000000" w:rsidRDefault="00000000" w:rsidRPr="00000000" w14:paraId="00000037">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Indian Standard which is identical to ISO/TR 22100-4: 2018 ‘Safety of machinery — Relationship with ISO 12100 — Part 4: Guidance to machinery manufacturers for consideration of related IT-security (cyber security) aspects’ issued by the International Organization for Standardization (ISO) was adopted by the Bureau of Indian Standards on recommendation of the Safety of Machinery Sectional Committee and approval of the Mechanical Engineering Divisional Council.</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Wherever the words ‘International Standard’ appears referring to this standard, they should be read as ‘Indian Standard’. </w:t>
      </w:r>
    </w:p>
    <w:p w:rsidR="00000000" w:rsidDel="00000000" w:rsidP="00000000" w:rsidRDefault="00000000" w:rsidRPr="00000000" w14:paraId="0000003D">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Comma (,) has been used as a decimal marker while in Indian Standards, the current practice is to use a point (.) as the decimal marker. </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000000" w:rsidDel="00000000" w:rsidP="00000000" w:rsidRDefault="00000000" w:rsidRPr="00000000" w14:paraId="00000040">
      <w:pPr>
        <w:widowControl w:val="0"/>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1"/>
        <w:tblW w:w="8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3690"/>
        <w:gridCol w:w="1305"/>
        <w:tblGridChange w:id="0">
          <w:tblGrid>
            <w:gridCol w:w="3825"/>
            <w:gridCol w:w="3690"/>
            <w:gridCol w:w="1305"/>
          </w:tblGrid>
        </w:tblGridChange>
      </w:tblGrid>
      <w:tr>
        <w:trPr>
          <w:cantSplit w:val="0"/>
          <w:trHeight w:val="489.9609375" w:hRule="atLeast"/>
          <w:tblHeader w:val="0"/>
        </w:trPr>
        <w:tc>
          <w:tcPr/>
          <w:p w:rsidR="00000000" w:rsidDel="00000000" w:rsidP="00000000" w:rsidRDefault="00000000" w:rsidRPr="00000000" w14:paraId="00000041">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International Standard</w:t>
            </w:r>
          </w:p>
        </w:tc>
        <w:tc>
          <w:tcPr/>
          <w:p w:rsidR="00000000" w:rsidDel="00000000" w:rsidP="00000000" w:rsidRDefault="00000000" w:rsidRPr="00000000" w14:paraId="00000042">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Corresponding Indian Standard</w:t>
            </w:r>
          </w:p>
        </w:tc>
        <w:tc>
          <w:tcPr/>
          <w:p w:rsidR="00000000" w:rsidDel="00000000" w:rsidP="00000000" w:rsidRDefault="00000000" w:rsidRPr="00000000" w14:paraId="00000043">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Degree of Equivalence</w:t>
            </w:r>
          </w:p>
        </w:tc>
      </w:tr>
      <w:tr>
        <w:trPr>
          <w:cantSplit w:val="0"/>
          <w:tblHeader w:val="0"/>
        </w:trPr>
        <w:tc>
          <w:tcPr/>
          <w:p w:rsidR="00000000" w:rsidDel="00000000" w:rsidP="00000000" w:rsidRDefault="00000000" w:rsidRPr="00000000" w14:paraId="00000044">
            <w:pPr>
              <w:widowControl w:val="0"/>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ISO 12100 : 2010, Safety of machinery — General principles for design — Risk assessment and risk reduction</w:t>
            </w:r>
          </w:p>
        </w:tc>
        <w:tc>
          <w:tcPr/>
          <w:p w:rsidR="00000000" w:rsidDel="00000000" w:rsidP="00000000" w:rsidRDefault="00000000" w:rsidRPr="00000000" w14:paraId="00000045">
            <w:pPr>
              <w:widowControl w:val="0"/>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16819 : 2018/ISO 12100 : 2010, Safety of machinery — General principles for design — Risk assessment and risk reduction</w:t>
            </w:r>
          </w:p>
        </w:tc>
        <w:tc>
          <w:tcPr/>
          <w:p w:rsidR="00000000" w:rsidDel="00000000" w:rsidP="00000000" w:rsidRDefault="00000000" w:rsidRPr="00000000" w14:paraId="00000046">
            <w:pPr>
              <w:widowControl w:val="0"/>
              <w:spacing w:after="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Identical</w:t>
            </w:r>
          </w:p>
        </w:tc>
      </w:tr>
    </w:tbl>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Del="00000000" w:rsidR="00000000" w:rsidRPr="00000000">
        <w:rPr>
          <w:rFonts w:ascii="Times New Roman" w:cs="Times New Roman" w:eastAsia="Times New Roman" w:hAnsi="Times New Roman"/>
          <w:i w:val="1"/>
          <w:sz w:val="20"/>
          <w:szCs w:val="20"/>
          <w:rtl w:val="0"/>
        </w:rPr>
        <w:t xml:space="preserve">second revision</w:t>
      </w:r>
      <w:r w:rsidDel="00000000" w:rsidR="00000000" w:rsidRPr="00000000">
        <w:rPr>
          <w:rFonts w:ascii="Times New Roman" w:cs="Times New Roman" w:eastAsia="Times New Roman" w:hAnsi="Times New Roman"/>
          <w:sz w:val="20"/>
          <w:szCs w:val="20"/>
          <w:rtl w:val="0"/>
        </w:rPr>
        <w:t xml:space="preserve">)’. The number of significant places retained in the rounded-off value should be the same as that of the specified value in this standard</w:t>
      </w:r>
      <w:r w:rsidDel="00000000" w:rsidR="00000000" w:rsidRPr="00000000">
        <w:rPr>
          <w:rFonts w:ascii="Times New Roman" w:cs="Times New Roman" w:eastAsia="Times New Roman" w:hAnsi="Times New Roman"/>
          <w:color w:val="ff0000"/>
          <w:sz w:val="20"/>
          <w:szCs w:val="20"/>
          <w:rtl w:val="0"/>
        </w:rPr>
        <w:t xml:space="preserve">.</w:t>
      </w:r>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Mangal"/>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spacing w:after="0" w:line="240" w:lineRule="auto"/>
      <w:ind w:right="9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IS/ISO/TR 22100-4: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Fonts w:ascii="Times New Roman" w:cs="Times New Roman" w:eastAsia="Times New Roman" w:hAnsi="Times New Roman"/>
        <w:b w:val="1"/>
        <w:sz w:val="24"/>
        <w:szCs w:val="24"/>
        <w:rtl w:val="0"/>
      </w:rPr>
      <w:t xml:space="preserve">IS/ISO/TR 22100-4: 2024</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423C"/>
    <w:rPr>
      <w:kern w:val="0"/>
      <w:szCs w:val="20"/>
      <w:lang w:bidi="hi-IN" w:val="en-US"/>
    </w:rPr>
  </w:style>
  <w:style w:type="paragraph" w:styleId="Heading1">
    <w:name w:val="heading 1"/>
    <w:basedOn w:val="Normal"/>
    <w:next w:val="Normal"/>
    <w:link w:val="Heading1Char"/>
    <w:uiPriority w:val="1"/>
    <w:qFormat w:val="1"/>
    <w:rsid w:val="00793623"/>
    <w:pPr>
      <w:keepNext w:val="1"/>
      <w:keepLines w:val="1"/>
      <w:spacing w:after="0" w:before="240" w:line="276" w:lineRule="auto"/>
      <w:outlineLvl w:val="0"/>
    </w:pPr>
    <w:rPr>
      <w:rFonts w:asciiTheme="majorHAnsi" w:cstheme="majorBidi" w:eastAsiaTheme="majorEastAsia" w:hAnsiTheme="majorHAnsi"/>
      <w:color w:val="2f5496" w:themeColor="accent1" w:themeShade="0000BF"/>
      <w:sz w:val="32"/>
      <w:szCs w:val="32"/>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423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23DB"/>
  </w:style>
  <w:style w:type="paragraph" w:styleId="Footer">
    <w:name w:val="footer"/>
    <w:basedOn w:val="Normal"/>
    <w:link w:val="FooterChar"/>
    <w:uiPriority w:val="99"/>
    <w:unhideWhenUsed w:val="1"/>
    <w:rsid w:val="008423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23DB"/>
  </w:style>
  <w:style w:type="paragraph" w:styleId="ListParagraph">
    <w:name w:val="List Paragraph"/>
    <w:basedOn w:val="Normal"/>
    <w:uiPriority w:val="34"/>
    <w:qFormat w:val="1"/>
    <w:rsid w:val="00EC7FC3"/>
    <w:pPr>
      <w:spacing w:after="200" w:line="276" w:lineRule="auto"/>
      <w:ind w:left="720"/>
      <w:contextualSpacing w:val="1"/>
    </w:pPr>
    <w:rPr>
      <w:rFonts w:eastAsiaTheme="minorEastAsia"/>
      <w:szCs w:val="22"/>
      <w:lang w:bidi="ar-SA"/>
    </w:rPr>
  </w:style>
  <w:style w:type="character" w:styleId="fontstyle01" w:customStyle="1">
    <w:name w:val="fontstyle01"/>
    <w:basedOn w:val="DefaultParagraphFont"/>
    <w:rsid w:val="00834782"/>
    <w:rPr>
      <w:rFonts w:ascii="NirmalaUI-Bold" w:hAnsi="NirmalaUI-Bold" w:hint="default"/>
      <w:b w:val="1"/>
      <w:bCs w:val="1"/>
      <w:i w:val="0"/>
      <w:iCs w:val="0"/>
      <w:color w:val="000000"/>
      <w:sz w:val="24"/>
      <w:szCs w:val="24"/>
    </w:rPr>
  </w:style>
  <w:style w:type="character" w:styleId="Hyperlink">
    <w:name w:val="Hyperlink"/>
    <w:basedOn w:val="DefaultParagraphFont"/>
    <w:uiPriority w:val="99"/>
    <w:unhideWhenUsed w:val="1"/>
    <w:rsid w:val="00834782"/>
    <w:rPr>
      <w:color w:val="0563c1" w:themeColor="hyperlink"/>
      <w:u w:val="single"/>
    </w:rPr>
  </w:style>
  <w:style w:type="table" w:styleId="TableGrid">
    <w:name w:val="Table Grid"/>
    <w:basedOn w:val="TableNormal"/>
    <w:uiPriority w:val="39"/>
    <w:rsid w:val="00917D1D"/>
    <w:pPr>
      <w:spacing w:after="0" w:line="240" w:lineRule="auto"/>
    </w:pPr>
    <w:rPr>
      <w:rFonts w:eastAsiaTheme="minorEastAsia"/>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5" w:customStyle="1">
    <w:name w:val="Table Grid5"/>
    <w:basedOn w:val="TableNormal"/>
    <w:next w:val="TableGrid"/>
    <w:uiPriority w:val="39"/>
    <w:rsid w:val="000973FF"/>
    <w:pPr>
      <w:spacing w:after="0" w:line="240" w:lineRule="auto"/>
    </w:pPr>
    <w:rPr>
      <w:kern w:val="0"/>
      <w:lang w:bidi="hi-I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80709"/>
    <w:pPr>
      <w:spacing w:after="0" w:line="240" w:lineRule="auto"/>
    </w:pPr>
    <w:rPr>
      <w:rFonts w:eastAsiaTheme="minorEastAsia"/>
      <w:kern w:val="0"/>
      <w:lang w:val="en-US"/>
    </w:rPr>
  </w:style>
  <w:style w:type="table" w:styleId="TableGrid1" w:customStyle="1">
    <w:name w:val="Table Grid1"/>
    <w:basedOn w:val="TableNormal"/>
    <w:next w:val="TableGrid"/>
    <w:uiPriority w:val="59"/>
    <w:rsid w:val="00E80709"/>
    <w:pPr>
      <w:widowControl w:val="0"/>
      <w:spacing w:after="0" w:line="240" w:lineRule="auto"/>
    </w:pPr>
    <w:rPr>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2" w:customStyle="1">
    <w:name w:val="Table Grid2"/>
    <w:basedOn w:val="TableNormal"/>
    <w:next w:val="TableGrid"/>
    <w:uiPriority w:val="59"/>
    <w:rsid w:val="00382BA0"/>
    <w:pPr>
      <w:widowControl w:val="0"/>
      <w:spacing w:after="0" w:line="240" w:lineRule="auto"/>
    </w:pPr>
    <w:rPr>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3" w:customStyle="1">
    <w:name w:val="Table Grid3"/>
    <w:basedOn w:val="TableNormal"/>
    <w:next w:val="TableGrid"/>
    <w:uiPriority w:val="59"/>
    <w:rsid w:val="00C24637"/>
    <w:pPr>
      <w:widowControl w:val="0"/>
      <w:spacing w:after="0" w:line="240" w:lineRule="auto"/>
    </w:pPr>
    <w:rPr>
      <w:kern w:val="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markedcontent" w:customStyle="1">
    <w:name w:val="markedcontent"/>
    <w:basedOn w:val="DefaultParagraphFont"/>
    <w:rsid w:val="00324B1E"/>
  </w:style>
  <w:style w:type="character" w:styleId="Heading1Char" w:customStyle="1">
    <w:name w:val="Heading 1 Char"/>
    <w:basedOn w:val="DefaultParagraphFont"/>
    <w:link w:val="Heading1"/>
    <w:uiPriority w:val="1"/>
    <w:rsid w:val="00793623"/>
    <w:rPr>
      <w:rFonts w:asciiTheme="majorHAnsi" w:cstheme="majorBidi" w:eastAsiaTheme="majorEastAsia" w:hAnsiTheme="majorHAnsi"/>
      <w:color w:val="2f5496" w:themeColor="accent1" w:themeShade="0000BF"/>
      <w:kern w:val="0"/>
      <w:sz w:val="32"/>
      <w:szCs w:val="32"/>
      <w:lang w:val="en-US"/>
    </w:rPr>
  </w:style>
  <w:style w:type="paragraph" w:styleId="BodyText">
    <w:name w:val="Body Text"/>
    <w:basedOn w:val="Normal"/>
    <w:link w:val="BodyTextChar"/>
    <w:uiPriority w:val="1"/>
    <w:qFormat w:val="1"/>
    <w:rsid w:val="00DB1EF3"/>
    <w:pPr>
      <w:widowControl w:val="0"/>
      <w:autoSpaceDE w:val="0"/>
      <w:autoSpaceDN w:val="0"/>
      <w:spacing w:after="0" w:line="240" w:lineRule="auto"/>
    </w:pPr>
    <w:rPr>
      <w:rFonts w:ascii="Times New Roman" w:cs="Times New Roman" w:eastAsia="Times New Roman" w:hAnsi="Times New Roman"/>
      <w:sz w:val="24"/>
      <w:szCs w:val="24"/>
      <w:lang w:bidi="ar-SA"/>
    </w:rPr>
  </w:style>
  <w:style w:type="character" w:styleId="BodyTextChar" w:customStyle="1">
    <w:name w:val="Body Text Char"/>
    <w:basedOn w:val="DefaultParagraphFont"/>
    <w:link w:val="BodyText"/>
    <w:uiPriority w:val="1"/>
    <w:rsid w:val="00DB1EF3"/>
    <w:rPr>
      <w:rFonts w:ascii="Times New Roman" w:cs="Times New Roman" w:eastAsia="Times New Roman" w:hAnsi="Times New Roman"/>
      <w:kern w:val="0"/>
      <w:sz w:val="24"/>
      <w:szCs w:val="24"/>
      <w:lang w:val="en-US"/>
    </w:rPr>
  </w:style>
  <w:style w:type="table" w:styleId="Style84" w:customStyle="1">
    <w:name w:val="_Style 84"/>
    <w:basedOn w:val="TableNormal"/>
    <w:rsid w:val="00DB1EF3"/>
    <w:pPr>
      <w:spacing w:after="0" w:line="240" w:lineRule="auto"/>
    </w:pPr>
    <w:rPr>
      <w:rFonts w:eastAsiaTheme="minorEastAsia"/>
      <w:kern w:val="0"/>
      <w:sz w:val="20"/>
      <w:szCs w:val="20"/>
      <w:lang w:eastAsia="en-IN"/>
    </w:rPr>
    <w:tblPr/>
  </w:style>
  <w:style w:type="character" w:styleId="fontstyle21" w:customStyle="1">
    <w:name w:val="fontstyle21"/>
    <w:basedOn w:val="DefaultParagraphFont"/>
    <w:rsid w:val="00B42BBF"/>
    <w:rPr>
      <w:rFonts w:ascii="Times New Roman" w:cs="Times New Roman" w:hAnsi="Times New Roman" w:hint="default"/>
      <w:b w:val="0"/>
      <w:bCs w:val="0"/>
      <w:i w:val="0"/>
      <w:iCs w:val="0"/>
      <w:color w:val="000000"/>
      <w:sz w:val="24"/>
      <w:szCs w:val="24"/>
    </w:rPr>
  </w:style>
  <w:style w:type="character" w:styleId="CommentReference">
    <w:name w:val="annotation reference"/>
    <w:basedOn w:val="DefaultParagraphFont"/>
    <w:uiPriority w:val="99"/>
    <w:semiHidden w:val="1"/>
    <w:unhideWhenUsed w:val="1"/>
    <w:rsid w:val="001C1F51"/>
    <w:rPr>
      <w:sz w:val="16"/>
      <w:szCs w:val="16"/>
    </w:rPr>
  </w:style>
  <w:style w:type="paragraph" w:styleId="CommentText">
    <w:name w:val="annotation text"/>
    <w:basedOn w:val="Normal"/>
    <w:link w:val="CommentTextChar"/>
    <w:uiPriority w:val="99"/>
    <w:semiHidden w:val="1"/>
    <w:unhideWhenUsed w:val="1"/>
    <w:rsid w:val="001C1F51"/>
    <w:pPr>
      <w:spacing w:line="240" w:lineRule="auto"/>
    </w:pPr>
    <w:rPr>
      <w:rFonts w:cs="Mangal"/>
      <w:sz w:val="20"/>
      <w:szCs w:val="18"/>
    </w:rPr>
  </w:style>
  <w:style w:type="character" w:styleId="CommentTextChar" w:customStyle="1">
    <w:name w:val="Comment Text Char"/>
    <w:basedOn w:val="DefaultParagraphFont"/>
    <w:link w:val="CommentText"/>
    <w:uiPriority w:val="99"/>
    <w:semiHidden w:val="1"/>
    <w:rsid w:val="001C1F51"/>
    <w:rPr>
      <w:rFonts w:cs="Mangal"/>
      <w:kern w:val="0"/>
      <w:sz w:val="20"/>
      <w:szCs w:val="18"/>
      <w:lang w:bidi="hi-IN" w:val="en-US"/>
    </w:rPr>
  </w:style>
  <w:style w:type="paragraph" w:styleId="CommentSubject">
    <w:name w:val="annotation subject"/>
    <w:basedOn w:val="CommentText"/>
    <w:next w:val="CommentText"/>
    <w:link w:val="CommentSubjectChar"/>
    <w:uiPriority w:val="99"/>
    <w:semiHidden w:val="1"/>
    <w:unhideWhenUsed w:val="1"/>
    <w:rsid w:val="001C1F51"/>
    <w:rPr>
      <w:b w:val="1"/>
      <w:bCs w:val="1"/>
    </w:rPr>
  </w:style>
  <w:style w:type="character" w:styleId="CommentSubjectChar" w:customStyle="1">
    <w:name w:val="Comment Subject Char"/>
    <w:basedOn w:val="CommentTextChar"/>
    <w:link w:val="CommentSubject"/>
    <w:uiPriority w:val="99"/>
    <w:semiHidden w:val="1"/>
    <w:rsid w:val="001C1F51"/>
    <w:rPr>
      <w:rFonts w:cs="Mangal"/>
      <w:b w:val="1"/>
      <w:bCs w:val="1"/>
      <w:kern w:val="0"/>
      <w:sz w:val="20"/>
      <w:szCs w:val="18"/>
      <w:lang w:bidi="hi-IN" w:val="en-US"/>
    </w:rPr>
  </w:style>
  <w:style w:type="paragraph" w:styleId="BalloonText">
    <w:name w:val="Balloon Text"/>
    <w:basedOn w:val="Normal"/>
    <w:link w:val="BalloonTextChar"/>
    <w:uiPriority w:val="99"/>
    <w:semiHidden w:val="1"/>
    <w:unhideWhenUsed w:val="1"/>
    <w:rsid w:val="001C1F51"/>
    <w:pPr>
      <w:spacing w:after="0" w:line="240" w:lineRule="auto"/>
    </w:pPr>
    <w:rPr>
      <w:rFonts w:ascii="Segoe UI" w:cs="Mangal" w:hAnsi="Segoe UI"/>
      <w:sz w:val="18"/>
      <w:szCs w:val="16"/>
    </w:rPr>
  </w:style>
  <w:style w:type="character" w:styleId="BalloonTextChar" w:customStyle="1">
    <w:name w:val="Balloon Text Char"/>
    <w:basedOn w:val="DefaultParagraphFont"/>
    <w:link w:val="BalloonText"/>
    <w:uiPriority w:val="99"/>
    <w:semiHidden w:val="1"/>
    <w:rsid w:val="001C1F51"/>
    <w:rPr>
      <w:rFonts w:ascii="Segoe UI" w:cs="Mangal" w:hAnsi="Segoe UI"/>
      <w:kern w:val="0"/>
      <w:sz w:val="18"/>
      <w:szCs w:val="16"/>
      <w:lang w:bidi="hi-I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odkBXW+LOsPrJqd+296prjhmQ==">CgMxLjAyDmgubDgzeHlzYmV3bjVsMg5oLng1NWZmNTEwbTh5ZTIIaC5namRneHM4AHIhMV9VOHlneEZsbUl3eDlhc2NLc1VGUlB0WHZfX2FGVGR5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2024-06-04T11:09:00Z</dcterms:created>
  <dc:creator>MED</dc:creator>
</cp:coreProperties>
</file>