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1577" w:rsidRDefault="00430296" w:rsidP="00B71577">
      <w:pPr>
        <w:ind w:left="2531" w:right="2568"/>
        <w:jc w:val="center"/>
        <w:rPr>
          <w:rFonts w:ascii="Kokila" w:eastAsia="Nirmala UI Semilight" w:hAnsi="Kokila" w:cs="Kokila"/>
          <w:b/>
          <w:bCs/>
          <w:i/>
          <w:iCs/>
          <w:w w:val="105"/>
          <w:sz w:val="56"/>
          <w:szCs w:val="56"/>
          <w:lang w:bidi="hi-IN"/>
        </w:rPr>
      </w:pPr>
      <w:r w:rsidRPr="00430296">
        <w:rPr>
          <w:rFonts w:ascii="Kokila" w:eastAsia="Nirmala UI Semilight" w:hAnsi="Kokila" w:cs="Kokila" w:hint="cs"/>
          <w:b/>
          <w:bCs/>
          <w:i/>
          <w:iCs/>
          <w:w w:val="105"/>
          <w:sz w:val="56"/>
          <w:szCs w:val="56"/>
          <w:cs/>
          <w:lang w:bidi="hi-IN"/>
        </w:rPr>
        <w:t>भारतीय</w:t>
      </w:r>
      <w:r w:rsidRPr="00430296">
        <w:rPr>
          <w:rFonts w:eastAsia="Nirmala UI Semilight"/>
          <w:b/>
          <w:bCs/>
          <w:i/>
          <w:iCs/>
          <w:spacing w:val="-10"/>
          <w:w w:val="105"/>
          <w:sz w:val="56"/>
          <w:szCs w:val="56"/>
        </w:rPr>
        <w:t xml:space="preserve"> </w:t>
      </w:r>
      <w:r w:rsidRPr="00430296">
        <w:rPr>
          <w:rFonts w:ascii="Kokila" w:eastAsia="Nirmala UI Semilight" w:hAnsi="Kokila" w:cs="Kokila" w:hint="cs"/>
          <w:b/>
          <w:bCs/>
          <w:i/>
          <w:iCs/>
          <w:w w:val="105"/>
          <w:sz w:val="56"/>
          <w:szCs w:val="56"/>
          <w:cs/>
          <w:lang w:bidi="hi-IN"/>
        </w:rPr>
        <w:t>मानक</w:t>
      </w:r>
    </w:p>
    <w:p w:rsidR="00430296" w:rsidRDefault="00430296" w:rsidP="00B71577">
      <w:pPr>
        <w:ind w:left="2531" w:right="2568"/>
        <w:jc w:val="center"/>
        <w:rPr>
          <w:rFonts w:ascii="Kokila" w:hAnsi="Kokila" w:cs="Kokila"/>
          <w:b/>
          <w:bCs/>
          <w:i/>
          <w:iCs/>
          <w:sz w:val="52"/>
          <w:szCs w:val="52"/>
          <w:lang w:bidi="hi-IN"/>
        </w:rPr>
      </w:pPr>
      <w:r w:rsidRPr="00430296">
        <w:rPr>
          <w:rFonts w:ascii="Kokila" w:hAnsi="Kokila" w:cs="Kokila" w:hint="cs"/>
          <w:b/>
          <w:bCs/>
          <w:i/>
          <w:iCs/>
          <w:sz w:val="52"/>
          <w:szCs w:val="52"/>
          <w:cs/>
          <w:lang w:bidi="hi-IN"/>
        </w:rPr>
        <w:t>भौगोलिक</w:t>
      </w:r>
      <w:r w:rsidRPr="00430296">
        <w:rPr>
          <w:b/>
          <w:bCs/>
          <w:i/>
          <w:iCs/>
          <w:sz w:val="52"/>
          <w:szCs w:val="52"/>
          <w:cs/>
          <w:lang w:bidi="hi-IN"/>
        </w:rPr>
        <w:t xml:space="preserve"> </w:t>
      </w:r>
      <w:r w:rsidR="005E205D" w:rsidRPr="005E205D">
        <w:rPr>
          <w:rFonts w:ascii="Kokila" w:hAnsi="Kokila" w:cs="Kokila" w:hint="cs"/>
          <w:b/>
          <w:bCs/>
          <w:i/>
          <w:iCs/>
          <w:sz w:val="52"/>
          <w:szCs w:val="52"/>
          <w:cs/>
          <w:lang w:bidi="hi-IN"/>
        </w:rPr>
        <w:t>सूचना</w:t>
      </w:r>
      <w:r w:rsidRPr="00430296">
        <w:rPr>
          <w:b/>
          <w:bCs/>
          <w:i/>
          <w:iCs/>
          <w:sz w:val="52"/>
          <w:szCs w:val="52"/>
          <w:cs/>
          <w:lang w:bidi="hi-IN"/>
        </w:rPr>
        <w:t xml:space="preserve"> –</w:t>
      </w:r>
    </w:p>
    <w:p w:rsidR="00430296" w:rsidRPr="00430296" w:rsidRDefault="005E205D" w:rsidP="00AC6C85">
      <w:pPr>
        <w:pStyle w:val="BodyText"/>
        <w:jc w:val="center"/>
        <w:rPr>
          <w:b/>
          <w:bCs/>
          <w:i/>
          <w:iCs/>
          <w:sz w:val="52"/>
          <w:szCs w:val="52"/>
          <w:lang w:bidi="hi-IN"/>
        </w:rPr>
      </w:pPr>
      <w:r w:rsidRPr="005E205D">
        <w:rPr>
          <w:rFonts w:ascii="Kokila" w:hAnsi="Kokila" w:cs="Kokila" w:hint="cs"/>
          <w:b/>
          <w:bCs/>
          <w:i/>
          <w:iCs/>
          <w:sz w:val="52"/>
          <w:szCs w:val="52"/>
          <w:cs/>
          <w:lang w:bidi="hi-IN"/>
        </w:rPr>
        <w:t>भौगोलीय</w:t>
      </w:r>
      <w:r w:rsidRPr="005E205D">
        <w:rPr>
          <w:rFonts w:ascii="Kokila" w:hAnsi="Kokila" w:cs="Kokila"/>
          <w:b/>
          <w:bCs/>
          <w:i/>
          <w:iCs/>
          <w:sz w:val="52"/>
          <w:szCs w:val="52"/>
          <w:cs/>
          <w:lang w:bidi="hi-IN"/>
        </w:rPr>
        <w:t xml:space="preserve"> </w:t>
      </w:r>
      <w:r w:rsidRPr="005E205D">
        <w:rPr>
          <w:rFonts w:ascii="Kokila" w:hAnsi="Kokila" w:cs="Kokila" w:hint="cs"/>
          <w:b/>
          <w:bCs/>
          <w:i/>
          <w:iCs/>
          <w:sz w:val="52"/>
          <w:szCs w:val="52"/>
          <w:cs/>
          <w:lang w:bidi="hi-IN"/>
        </w:rPr>
        <w:t>मार्कअप</w:t>
      </w:r>
      <w:r w:rsidRPr="005E205D">
        <w:rPr>
          <w:rFonts w:ascii="Kokila" w:hAnsi="Kokila" w:cs="Kokila"/>
          <w:b/>
          <w:bCs/>
          <w:i/>
          <w:iCs/>
          <w:sz w:val="52"/>
          <w:szCs w:val="52"/>
          <w:cs/>
          <w:lang w:bidi="hi-IN"/>
        </w:rPr>
        <w:t xml:space="preserve"> </w:t>
      </w:r>
      <w:r w:rsidRPr="005E205D">
        <w:rPr>
          <w:rFonts w:ascii="Kokila" w:hAnsi="Kokila" w:cs="Kokila" w:hint="cs"/>
          <w:b/>
          <w:bCs/>
          <w:i/>
          <w:iCs/>
          <w:sz w:val="52"/>
          <w:szCs w:val="52"/>
          <w:cs/>
          <w:lang w:bidi="hi-IN"/>
        </w:rPr>
        <w:t>भाषा</w:t>
      </w:r>
      <w:r w:rsidRPr="005E205D">
        <w:rPr>
          <w:rFonts w:ascii="Kokila" w:hAnsi="Kokila" w:cs="Kokila"/>
          <w:b/>
          <w:bCs/>
          <w:i/>
          <w:iCs/>
          <w:sz w:val="52"/>
          <w:szCs w:val="52"/>
          <w:cs/>
          <w:lang w:bidi="hi-IN"/>
        </w:rPr>
        <w:t xml:space="preserve"> ( </w:t>
      </w:r>
      <w:r w:rsidRPr="005E205D">
        <w:rPr>
          <w:rFonts w:ascii="Kokila" w:hAnsi="Kokila" w:cs="Kokila" w:hint="cs"/>
          <w:b/>
          <w:bCs/>
          <w:i/>
          <w:iCs/>
          <w:sz w:val="52"/>
          <w:szCs w:val="52"/>
          <w:cs/>
          <w:lang w:bidi="hi-IN"/>
        </w:rPr>
        <w:t>जी</w:t>
      </w:r>
      <w:r w:rsidRPr="005E205D">
        <w:rPr>
          <w:rFonts w:ascii="Kokila" w:hAnsi="Kokila" w:cs="Kokila"/>
          <w:b/>
          <w:bCs/>
          <w:i/>
          <w:iCs/>
          <w:sz w:val="52"/>
          <w:szCs w:val="52"/>
          <w:cs/>
          <w:lang w:bidi="hi-IN"/>
        </w:rPr>
        <w:t xml:space="preserve"> </w:t>
      </w:r>
      <w:r w:rsidRPr="005E205D">
        <w:rPr>
          <w:rFonts w:ascii="Kokila" w:hAnsi="Kokila" w:cs="Kokila" w:hint="cs"/>
          <w:b/>
          <w:bCs/>
          <w:i/>
          <w:iCs/>
          <w:sz w:val="52"/>
          <w:szCs w:val="52"/>
          <w:cs/>
          <w:lang w:bidi="hi-IN"/>
        </w:rPr>
        <w:t>एम</w:t>
      </w:r>
      <w:r w:rsidRPr="005E205D">
        <w:rPr>
          <w:rFonts w:ascii="Kokila" w:hAnsi="Kokila" w:cs="Kokila"/>
          <w:b/>
          <w:bCs/>
          <w:i/>
          <w:iCs/>
          <w:sz w:val="52"/>
          <w:szCs w:val="52"/>
          <w:cs/>
          <w:lang w:bidi="hi-IN"/>
        </w:rPr>
        <w:t xml:space="preserve"> </w:t>
      </w:r>
      <w:r w:rsidRPr="005E205D">
        <w:rPr>
          <w:rFonts w:ascii="Kokila" w:hAnsi="Kokila" w:cs="Kokila" w:hint="cs"/>
          <w:b/>
          <w:bCs/>
          <w:i/>
          <w:iCs/>
          <w:sz w:val="52"/>
          <w:szCs w:val="52"/>
          <w:cs/>
          <w:lang w:bidi="hi-IN"/>
        </w:rPr>
        <w:t>एल</w:t>
      </w:r>
      <w:r w:rsidRPr="005E205D">
        <w:rPr>
          <w:rFonts w:ascii="Arial" w:hAnsi="Arial" w:cs="Arial" w:hint="cs"/>
          <w:b/>
          <w:bCs/>
          <w:i/>
          <w:iCs/>
          <w:sz w:val="52"/>
          <w:szCs w:val="52"/>
          <w:cs/>
          <w:lang w:bidi="hi-IN"/>
        </w:rPr>
        <w:t> </w:t>
      </w:r>
      <w:r w:rsidRPr="005E205D">
        <w:rPr>
          <w:rFonts w:ascii="Kokila" w:hAnsi="Kokila" w:cs="Kokila"/>
          <w:b/>
          <w:bCs/>
          <w:i/>
          <w:iCs/>
          <w:sz w:val="52"/>
          <w:szCs w:val="52"/>
          <w:cs/>
          <w:lang w:bidi="hi-IN"/>
        </w:rPr>
        <w:t>)</w:t>
      </w:r>
      <w:r w:rsidR="00430296" w:rsidRPr="00430296">
        <w:rPr>
          <w:b/>
          <w:bCs/>
          <w:i/>
          <w:iCs/>
          <w:sz w:val="52"/>
          <w:szCs w:val="52"/>
          <w:cs/>
          <w:lang w:bidi="hi-IN"/>
        </w:rPr>
        <w:t xml:space="preserve">– </w:t>
      </w:r>
    </w:p>
    <w:p w:rsidR="00430296" w:rsidRDefault="00430296" w:rsidP="00AC6C85">
      <w:pPr>
        <w:pStyle w:val="BodyText"/>
        <w:jc w:val="center"/>
        <w:rPr>
          <w:rFonts w:ascii="Kokila" w:hAnsi="Kokila" w:cs="Kokila"/>
          <w:b/>
          <w:bCs/>
          <w:i/>
          <w:iCs/>
          <w:sz w:val="56"/>
          <w:szCs w:val="56"/>
          <w:lang w:bidi="hi-IN"/>
        </w:rPr>
      </w:pPr>
      <w:r w:rsidRPr="00430296">
        <w:rPr>
          <w:rFonts w:ascii="Kokila" w:hAnsi="Kokila" w:cs="Kokila" w:hint="cs"/>
          <w:b/>
          <w:bCs/>
          <w:i/>
          <w:iCs/>
          <w:sz w:val="56"/>
          <w:szCs w:val="56"/>
          <w:cs/>
          <w:lang w:bidi="hi-IN"/>
        </w:rPr>
        <w:t>भाग</w:t>
      </w:r>
      <w:r w:rsidRPr="00430296">
        <w:rPr>
          <w:b/>
          <w:bCs/>
          <w:i/>
          <w:iCs/>
          <w:sz w:val="56"/>
          <w:szCs w:val="56"/>
          <w:lang w:bidi="hi-IN"/>
        </w:rPr>
        <w:t xml:space="preserve"> </w:t>
      </w:r>
      <w:r w:rsidRPr="00430296">
        <w:rPr>
          <w:b/>
          <w:bCs/>
          <w:i/>
          <w:iCs/>
          <w:sz w:val="40"/>
          <w:szCs w:val="40"/>
        </w:rPr>
        <w:t>1</w:t>
      </w:r>
      <w:r>
        <w:rPr>
          <w:rFonts w:ascii="Kokila" w:hAnsi="Kokila" w:cs="Kokila"/>
          <w:b/>
          <w:bCs/>
          <w:i/>
          <w:iCs/>
          <w:sz w:val="56"/>
          <w:szCs w:val="56"/>
          <w:lang w:bidi="hi-IN"/>
        </w:rPr>
        <w:t xml:space="preserve"> </w:t>
      </w:r>
      <w:r w:rsidR="005E205D" w:rsidRPr="005E205D">
        <w:rPr>
          <w:rFonts w:ascii="Kokila" w:hAnsi="Kokila" w:cs="Kokila" w:hint="cs"/>
          <w:b/>
          <w:bCs/>
          <w:i/>
          <w:iCs/>
          <w:sz w:val="56"/>
          <w:szCs w:val="56"/>
          <w:cs/>
          <w:lang w:bidi="hi-IN"/>
        </w:rPr>
        <w:t>मूलसिद्धान्त</w:t>
      </w:r>
    </w:p>
    <w:p w:rsidR="00893EE1" w:rsidRPr="00893EE1" w:rsidRDefault="00893EE1" w:rsidP="00AC6C85">
      <w:pPr>
        <w:pStyle w:val="BodyText"/>
        <w:jc w:val="center"/>
        <w:rPr>
          <w:i/>
          <w:iCs/>
          <w:sz w:val="32"/>
          <w:szCs w:val="32"/>
        </w:rPr>
      </w:pPr>
      <w:r w:rsidRPr="00893EE1">
        <w:rPr>
          <w:i/>
          <w:iCs/>
          <w:sz w:val="32"/>
          <w:szCs w:val="32"/>
        </w:rPr>
        <w:t>(</w:t>
      </w:r>
      <w:r w:rsidRPr="00893EE1">
        <w:rPr>
          <w:rFonts w:cs="Mangal" w:hint="cs"/>
          <w:i/>
          <w:iCs/>
          <w:sz w:val="32"/>
          <w:szCs w:val="32"/>
          <w:cs/>
          <w:lang w:bidi="hi-IN"/>
        </w:rPr>
        <w:t>पहला</w:t>
      </w:r>
      <w:r w:rsidRPr="00893EE1">
        <w:rPr>
          <w:rFonts w:cs="Mangal"/>
          <w:i/>
          <w:iCs/>
          <w:sz w:val="32"/>
          <w:szCs w:val="32"/>
          <w:cs/>
          <w:lang w:bidi="hi-IN"/>
        </w:rPr>
        <w:t xml:space="preserve"> </w:t>
      </w:r>
      <w:r w:rsidRPr="00893EE1">
        <w:rPr>
          <w:rFonts w:cs="Mangal" w:hint="cs"/>
          <w:i/>
          <w:iCs/>
          <w:sz w:val="32"/>
          <w:szCs w:val="32"/>
          <w:cs/>
          <w:lang w:bidi="hi-IN"/>
        </w:rPr>
        <w:t>पुनरीक्षण</w:t>
      </w:r>
      <w:r w:rsidRPr="00893EE1">
        <w:rPr>
          <w:rFonts w:cs="Mangal"/>
          <w:i/>
          <w:iCs/>
          <w:sz w:val="32"/>
          <w:szCs w:val="32"/>
          <w:cs/>
          <w:lang w:bidi="hi-IN"/>
        </w:rPr>
        <w:t>)</w:t>
      </w:r>
    </w:p>
    <w:p w:rsidR="00DC1426" w:rsidRDefault="00DC1426" w:rsidP="00F95EE8">
      <w:pPr>
        <w:pStyle w:val="BodyText"/>
        <w:pBdr>
          <w:bottom w:val="single" w:sz="4" w:space="1" w:color="auto"/>
        </w:pBdr>
        <w:spacing w:before="1"/>
        <w:rPr>
          <w:sz w:val="19"/>
        </w:rPr>
      </w:pPr>
    </w:p>
    <w:p w:rsidR="00430296" w:rsidRDefault="00430296">
      <w:pPr>
        <w:pStyle w:val="BodyText"/>
        <w:spacing w:before="1"/>
        <w:rPr>
          <w:sz w:val="19"/>
        </w:rPr>
      </w:pPr>
    </w:p>
    <w:p w:rsidR="009E2371" w:rsidRPr="00430296" w:rsidRDefault="00CB07E3" w:rsidP="00430296">
      <w:pPr>
        <w:ind w:left="2531" w:right="2568"/>
        <w:jc w:val="center"/>
        <w:rPr>
          <w:b/>
          <w:i/>
          <w:sz w:val="40"/>
          <w:szCs w:val="40"/>
        </w:rPr>
      </w:pPr>
      <w:r w:rsidRPr="005234A9">
        <w:rPr>
          <w:b/>
          <w:i/>
          <w:sz w:val="40"/>
          <w:szCs w:val="40"/>
        </w:rPr>
        <w:t>Indian</w:t>
      </w:r>
      <w:r w:rsidRPr="005234A9">
        <w:rPr>
          <w:b/>
          <w:i/>
          <w:spacing w:val="-6"/>
          <w:sz w:val="40"/>
          <w:szCs w:val="40"/>
        </w:rPr>
        <w:t xml:space="preserve"> </w:t>
      </w:r>
      <w:r w:rsidRPr="005234A9">
        <w:rPr>
          <w:b/>
          <w:i/>
          <w:sz w:val="40"/>
          <w:szCs w:val="40"/>
        </w:rPr>
        <w:t>Standard</w:t>
      </w:r>
    </w:p>
    <w:p w:rsidR="00430296" w:rsidRPr="004D7372" w:rsidRDefault="00CB07E3" w:rsidP="004D7372">
      <w:pPr>
        <w:ind w:left="522" w:right="560"/>
        <w:jc w:val="center"/>
        <w:rPr>
          <w:b/>
          <w:bCs/>
          <w:i/>
          <w:iCs/>
          <w:sz w:val="44"/>
          <w:szCs w:val="44"/>
        </w:rPr>
      </w:pPr>
      <w:r w:rsidRPr="004D7372">
        <w:rPr>
          <w:b/>
          <w:bCs/>
          <w:i/>
          <w:iCs/>
          <w:sz w:val="44"/>
          <w:szCs w:val="44"/>
        </w:rPr>
        <w:t>Geographic</w:t>
      </w:r>
      <w:r w:rsidRPr="004D7372">
        <w:rPr>
          <w:b/>
          <w:bCs/>
          <w:i/>
          <w:iCs/>
          <w:spacing w:val="-6"/>
          <w:sz w:val="44"/>
          <w:szCs w:val="44"/>
        </w:rPr>
        <w:t xml:space="preserve"> </w:t>
      </w:r>
      <w:r w:rsidR="00021505" w:rsidRPr="004D7372">
        <w:rPr>
          <w:b/>
          <w:bCs/>
          <w:i/>
          <w:iCs/>
          <w:sz w:val="44"/>
          <w:szCs w:val="44"/>
        </w:rPr>
        <w:t>Information</w:t>
      </w:r>
      <w:r w:rsidR="00021505" w:rsidRPr="004D7372">
        <w:rPr>
          <w:b/>
          <w:bCs/>
          <w:i/>
          <w:iCs/>
          <w:spacing w:val="-6"/>
          <w:sz w:val="44"/>
          <w:szCs w:val="44"/>
        </w:rPr>
        <w:t xml:space="preserve"> </w:t>
      </w:r>
      <w:r w:rsidRPr="004D7372">
        <w:rPr>
          <w:b/>
          <w:bCs/>
          <w:i/>
          <w:iCs/>
          <w:sz w:val="44"/>
          <w:szCs w:val="44"/>
        </w:rPr>
        <w:t>—</w:t>
      </w:r>
      <w:r w:rsidRPr="004D7372">
        <w:rPr>
          <w:b/>
          <w:bCs/>
          <w:i/>
          <w:iCs/>
          <w:spacing w:val="-6"/>
          <w:sz w:val="44"/>
          <w:szCs w:val="44"/>
        </w:rPr>
        <w:t xml:space="preserve"> </w:t>
      </w:r>
    </w:p>
    <w:p w:rsidR="00430296" w:rsidRPr="004D7372" w:rsidRDefault="00CB07E3" w:rsidP="004D7372">
      <w:pPr>
        <w:ind w:left="522" w:right="560"/>
        <w:jc w:val="center"/>
        <w:rPr>
          <w:b/>
          <w:bCs/>
          <w:i/>
          <w:iCs/>
          <w:sz w:val="44"/>
          <w:szCs w:val="44"/>
        </w:rPr>
      </w:pPr>
      <w:r w:rsidRPr="004D7372">
        <w:rPr>
          <w:b/>
          <w:bCs/>
          <w:i/>
          <w:iCs/>
          <w:sz w:val="44"/>
          <w:szCs w:val="44"/>
        </w:rPr>
        <w:t>Geography</w:t>
      </w:r>
      <w:r w:rsidRPr="004D7372">
        <w:rPr>
          <w:b/>
          <w:bCs/>
          <w:i/>
          <w:iCs/>
          <w:spacing w:val="-6"/>
          <w:sz w:val="44"/>
          <w:szCs w:val="44"/>
        </w:rPr>
        <w:t xml:space="preserve"> </w:t>
      </w:r>
      <w:r w:rsidRPr="004D7372">
        <w:rPr>
          <w:b/>
          <w:bCs/>
          <w:i/>
          <w:iCs/>
          <w:sz w:val="44"/>
          <w:szCs w:val="44"/>
        </w:rPr>
        <w:t>Markup</w:t>
      </w:r>
      <w:r w:rsidRPr="004D7372">
        <w:rPr>
          <w:b/>
          <w:bCs/>
          <w:i/>
          <w:iCs/>
          <w:spacing w:val="-6"/>
          <w:sz w:val="44"/>
          <w:szCs w:val="44"/>
        </w:rPr>
        <w:t xml:space="preserve"> </w:t>
      </w:r>
      <w:r w:rsidRPr="004D7372">
        <w:rPr>
          <w:b/>
          <w:bCs/>
          <w:i/>
          <w:iCs/>
          <w:sz w:val="44"/>
          <w:szCs w:val="44"/>
        </w:rPr>
        <w:t>Language</w:t>
      </w:r>
      <w:r w:rsidRPr="004D7372">
        <w:rPr>
          <w:b/>
          <w:bCs/>
          <w:i/>
          <w:iCs/>
          <w:spacing w:val="-5"/>
          <w:sz w:val="44"/>
          <w:szCs w:val="44"/>
        </w:rPr>
        <w:t xml:space="preserve"> </w:t>
      </w:r>
      <w:r w:rsidRPr="004D7372">
        <w:rPr>
          <w:b/>
          <w:bCs/>
          <w:i/>
          <w:iCs/>
          <w:sz w:val="44"/>
          <w:szCs w:val="44"/>
        </w:rPr>
        <w:t>(GML)</w:t>
      </w:r>
      <w:r w:rsidRPr="004D7372">
        <w:rPr>
          <w:b/>
          <w:bCs/>
          <w:i/>
          <w:iCs/>
          <w:spacing w:val="-6"/>
          <w:sz w:val="44"/>
          <w:szCs w:val="44"/>
        </w:rPr>
        <w:t xml:space="preserve"> </w:t>
      </w:r>
      <w:r w:rsidRPr="004D7372">
        <w:rPr>
          <w:b/>
          <w:bCs/>
          <w:i/>
          <w:iCs/>
          <w:sz w:val="44"/>
          <w:szCs w:val="44"/>
        </w:rPr>
        <w:t>—</w:t>
      </w:r>
      <w:r w:rsidRPr="004D7372">
        <w:rPr>
          <w:b/>
          <w:bCs/>
          <w:i/>
          <w:iCs/>
          <w:spacing w:val="-6"/>
          <w:sz w:val="44"/>
          <w:szCs w:val="44"/>
        </w:rPr>
        <w:t xml:space="preserve"> </w:t>
      </w:r>
    </w:p>
    <w:p w:rsidR="00DC1426" w:rsidRDefault="00CB07E3" w:rsidP="004D7372">
      <w:pPr>
        <w:ind w:left="522" w:right="560"/>
        <w:jc w:val="center"/>
        <w:rPr>
          <w:b/>
          <w:bCs/>
          <w:i/>
          <w:iCs/>
          <w:sz w:val="44"/>
          <w:szCs w:val="44"/>
        </w:rPr>
      </w:pPr>
      <w:r w:rsidRPr="004D7372">
        <w:rPr>
          <w:b/>
          <w:bCs/>
          <w:i/>
          <w:iCs/>
          <w:sz w:val="44"/>
          <w:szCs w:val="44"/>
        </w:rPr>
        <w:t>Part</w:t>
      </w:r>
      <w:r w:rsidRPr="004D7372">
        <w:rPr>
          <w:b/>
          <w:bCs/>
          <w:i/>
          <w:iCs/>
          <w:spacing w:val="-6"/>
          <w:sz w:val="44"/>
          <w:szCs w:val="44"/>
        </w:rPr>
        <w:t xml:space="preserve"> </w:t>
      </w:r>
      <w:r w:rsidRPr="004D7372">
        <w:rPr>
          <w:b/>
          <w:bCs/>
          <w:i/>
          <w:iCs/>
          <w:sz w:val="44"/>
          <w:szCs w:val="44"/>
        </w:rPr>
        <w:t>1</w:t>
      </w:r>
      <w:r w:rsidRPr="004D7372">
        <w:rPr>
          <w:b/>
          <w:bCs/>
          <w:i/>
          <w:iCs/>
          <w:spacing w:val="-67"/>
          <w:sz w:val="44"/>
          <w:szCs w:val="44"/>
        </w:rPr>
        <w:t xml:space="preserve"> </w:t>
      </w:r>
      <w:r w:rsidRPr="004D7372">
        <w:rPr>
          <w:b/>
          <w:bCs/>
          <w:i/>
          <w:iCs/>
          <w:sz w:val="44"/>
          <w:szCs w:val="44"/>
        </w:rPr>
        <w:t>Fundamentals</w:t>
      </w:r>
    </w:p>
    <w:p w:rsidR="00EB5C45" w:rsidRPr="00EB5C45" w:rsidRDefault="00EB5C45" w:rsidP="004D7372">
      <w:pPr>
        <w:ind w:left="522" w:right="560"/>
        <w:jc w:val="center"/>
        <w:rPr>
          <w:i/>
          <w:iCs/>
          <w:sz w:val="44"/>
          <w:szCs w:val="44"/>
        </w:rPr>
      </w:pPr>
      <w:r w:rsidRPr="00EB5C45">
        <w:rPr>
          <w:i/>
          <w:iCs/>
          <w:sz w:val="44"/>
          <w:szCs w:val="44"/>
        </w:rPr>
        <w:t>(First Revision)</w:t>
      </w:r>
    </w:p>
    <w:p w:rsidR="00DC1426" w:rsidRDefault="00DC1426" w:rsidP="004D7372">
      <w:pPr>
        <w:pStyle w:val="BodyText"/>
      </w:pPr>
    </w:p>
    <w:p w:rsidR="00DC1426" w:rsidRPr="002108B0" w:rsidRDefault="00DC1426" w:rsidP="00430296">
      <w:pPr>
        <w:spacing w:before="270"/>
        <w:ind w:right="2568"/>
        <w:rPr>
          <w:rFonts w:eastAsia="Nirmala UI Semilight"/>
          <w:sz w:val="32"/>
          <w:szCs w:val="32"/>
        </w:rPr>
      </w:pPr>
    </w:p>
    <w:p w:rsidR="00DC1426" w:rsidRDefault="00DC1426">
      <w:pPr>
        <w:pStyle w:val="BodyText"/>
        <w:spacing w:before="7"/>
        <w:rPr>
          <w:rFonts w:ascii="Nirmala UI Semilight"/>
          <w:sz w:val="45"/>
        </w:rPr>
      </w:pPr>
    </w:p>
    <w:p w:rsidR="00DC1426" w:rsidRPr="00AC6C85" w:rsidRDefault="00CB07E3">
      <w:pPr>
        <w:ind w:left="2531" w:right="2568"/>
        <w:jc w:val="center"/>
        <w:rPr>
          <w:b/>
          <w:sz w:val="24"/>
          <w:szCs w:val="24"/>
        </w:rPr>
      </w:pPr>
      <w:r w:rsidRPr="00AC6C85">
        <w:rPr>
          <w:b/>
          <w:i/>
          <w:sz w:val="24"/>
          <w:szCs w:val="24"/>
        </w:rPr>
        <w:t>ICS:</w:t>
      </w:r>
      <w:r w:rsidRPr="00AC6C85">
        <w:rPr>
          <w:b/>
          <w:i/>
          <w:spacing w:val="47"/>
          <w:sz w:val="24"/>
          <w:szCs w:val="24"/>
        </w:rPr>
        <w:t xml:space="preserve"> </w:t>
      </w:r>
      <w:r w:rsidRPr="00AC6C85">
        <w:rPr>
          <w:b/>
          <w:sz w:val="24"/>
          <w:szCs w:val="24"/>
        </w:rPr>
        <w:t>35.240.70</w:t>
      </w:r>
    </w:p>
    <w:p w:rsidR="00DC1426" w:rsidRDefault="00DC1426">
      <w:pPr>
        <w:pStyle w:val="BodyText"/>
        <w:rPr>
          <w:b/>
        </w:rPr>
      </w:pPr>
    </w:p>
    <w:p w:rsidR="00DC1426" w:rsidRDefault="00DC1426">
      <w:pPr>
        <w:pStyle w:val="BodyText"/>
        <w:rPr>
          <w:b/>
        </w:rPr>
      </w:pPr>
    </w:p>
    <w:p w:rsidR="00DC1426" w:rsidRDefault="00DC1426">
      <w:pPr>
        <w:pStyle w:val="BodyText"/>
        <w:rPr>
          <w:b/>
        </w:rPr>
      </w:pPr>
    </w:p>
    <w:p w:rsidR="009E2371" w:rsidRDefault="009E2371" w:rsidP="009E2371">
      <w:pPr>
        <w:pStyle w:val="NormalWeb"/>
        <w:spacing w:before="0" w:beforeAutospacing="0" w:after="0" w:afterAutospacing="0"/>
        <w:jc w:val="center"/>
      </w:pPr>
      <w:r>
        <w:rPr>
          <w:b/>
          <w:bCs/>
          <w:color w:val="000000"/>
        </w:rPr>
        <w:t>BUREAU OF INDIAN STANDARDS</w:t>
      </w:r>
    </w:p>
    <w:p w:rsidR="009E2371" w:rsidRDefault="009E2371" w:rsidP="009E2371">
      <w:pPr>
        <w:pStyle w:val="NormalWeb"/>
        <w:spacing w:before="0" w:beforeAutospacing="0" w:after="0" w:afterAutospacing="0"/>
        <w:jc w:val="center"/>
      </w:pPr>
      <w:r>
        <w:rPr>
          <w:b/>
          <w:bCs/>
          <w:color w:val="000000"/>
        </w:rPr>
        <w:t>MANAK BHAVAN, 9 BAHADUR SHAH ZAFAR MARG</w:t>
      </w:r>
    </w:p>
    <w:p w:rsidR="009E2371" w:rsidRDefault="009E2371" w:rsidP="009E2371">
      <w:pPr>
        <w:pStyle w:val="NormalWeb"/>
        <w:spacing w:before="0" w:beforeAutospacing="0" w:after="0" w:afterAutospacing="0"/>
        <w:jc w:val="center"/>
      </w:pPr>
      <w:r>
        <w:rPr>
          <w:b/>
          <w:bCs/>
          <w:color w:val="000000"/>
        </w:rPr>
        <w:t>NEW DELHI 110002</w:t>
      </w:r>
    </w:p>
    <w:p w:rsidR="00DC1426" w:rsidRDefault="00DC1426">
      <w:pPr>
        <w:pStyle w:val="BodyText"/>
        <w:rPr>
          <w:b/>
        </w:rPr>
      </w:pPr>
    </w:p>
    <w:p w:rsidR="00DC1426" w:rsidRDefault="00DC1426">
      <w:pPr>
        <w:pStyle w:val="BodyText"/>
        <w:rPr>
          <w:b/>
        </w:rPr>
      </w:pPr>
    </w:p>
    <w:p w:rsidR="009E2371" w:rsidRDefault="009E2371">
      <w:pPr>
        <w:pStyle w:val="BodyText"/>
        <w:rPr>
          <w:b/>
        </w:rPr>
      </w:pPr>
    </w:p>
    <w:p w:rsidR="009E2371" w:rsidRDefault="009E2371">
      <w:pPr>
        <w:pStyle w:val="BodyText"/>
        <w:rPr>
          <w:b/>
        </w:rPr>
      </w:pPr>
    </w:p>
    <w:p w:rsidR="00AC6C85" w:rsidRDefault="00AC6C85">
      <w:pPr>
        <w:pStyle w:val="BodyText"/>
        <w:rPr>
          <w:b/>
        </w:rPr>
      </w:pPr>
    </w:p>
    <w:p w:rsidR="00DC1426" w:rsidRDefault="00DC1426">
      <w:pPr>
        <w:pStyle w:val="BodyText"/>
        <w:spacing w:before="3"/>
        <w:rPr>
          <w:b/>
          <w:sz w:val="29"/>
        </w:rPr>
      </w:pPr>
    </w:p>
    <w:p w:rsidR="009E2371" w:rsidRPr="00AC6C85" w:rsidRDefault="00AC6C85" w:rsidP="00AC6C85">
      <w:pPr>
        <w:pStyle w:val="BodyText"/>
        <w:jc w:val="center"/>
        <w:rPr>
          <w:b/>
          <w:bCs/>
        </w:rPr>
      </w:pPr>
      <w:r>
        <w:rPr>
          <w:b/>
          <w:bCs/>
        </w:rPr>
        <w:t>June</w:t>
      </w:r>
      <w:r w:rsidR="009E2371" w:rsidRPr="00AC6C85">
        <w:rPr>
          <w:b/>
          <w:bCs/>
        </w:rPr>
        <w:t xml:space="preserve"> 2024</w:t>
      </w:r>
      <w:r w:rsidR="009E2371" w:rsidRPr="00AC6C85">
        <w:rPr>
          <w:b/>
          <w:bCs/>
        </w:rPr>
        <w:tab/>
      </w:r>
      <w:r w:rsidR="009E2371" w:rsidRPr="00AC6C85">
        <w:rPr>
          <w:b/>
          <w:bCs/>
        </w:rPr>
        <w:tab/>
      </w:r>
      <w:r w:rsidR="009E2371" w:rsidRPr="00AC6C85">
        <w:rPr>
          <w:b/>
          <w:bCs/>
        </w:rPr>
        <w:tab/>
      </w:r>
      <w:r w:rsidR="009E2371" w:rsidRPr="00AC6C85">
        <w:rPr>
          <w:b/>
          <w:bCs/>
        </w:rPr>
        <w:tab/>
      </w:r>
      <w:r w:rsidR="009E2371" w:rsidRPr="00AC6C85">
        <w:rPr>
          <w:b/>
          <w:bCs/>
        </w:rPr>
        <w:tab/>
      </w:r>
      <w:r w:rsidR="009E2371" w:rsidRPr="00AC6C85">
        <w:rPr>
          <w:b/>
          <w:bCs/>
        </w:rPr>
        <w:tab/>
      </w:r>
      <w:r w:rsidR="009E2371" w:rsidRPr="00AC6C85">
        <w:rPr>
          <w:b/>
          <w:bCs/>
        </w:rPr>
        <w:tab/>
      </w:r>
      <w:r w:rsidR="009E2371" w:rsidRPr="00AC6C85">
        <w:rPr>
          <w:b/>
          <w:bCs/>
        </w:rPr>
        <w:tab/>
        <w:t xml:space="preserve">    </w:t>
      </w:r>
      <w:r>
        <w:rPr>
          <w:b/>
          <w:bCs/>
        </w:rPr>
        <w:t xml:space="preserve">     </w:t>
      </w:r>
      <w:r w:rsidR="009E2371" w:rsidRPr="00AC6C85">
        <w:rPr>
          <w:b/>
          <w:bCs/>
        </w:rPr>
        <w:t xml:space="preserve">        Price Group XXX</w:t>
      </w:r>
    </w:p>
    <w:p w:rsidR="00DC1426" w:rsidRPr="00AC6C85" w:rsidRDefault="00DC1426" w:rsidP="00AC6C85">
      <w:pPr>
        <w:pStyle w:val="BodyText"/>
        <w:jc w:val="center"/>
        <w:rPr>
          <w:b/>
          <w:bCs/>
          <w:sz w:val="20"/>
        </w:rPr>
      </w:pPr>
    </w:p>
    <w:p w:rsidR="00DC1426" w:rsidRDefault="00DC1426">
      <w:pPr>
        <w:pStyle w:val="BodyText"/>
        <w:rPr>
          <w:sz w:val="20"/>
        </w:rPr>
      </w:pPr>
    </w:p>
    <w:p w:rsidR="00DC1426" w:rsidRDefault="00DC1426">
      <w:pPr>
        <w:pStyle w:val="BodyText"/>
        <w:rPr>
          <w:sz w:val="20"/>
        </w:rPr>
      </w:pPr>
    </w:p>
    <w:p w:rsidR="00AC6C85" w:rsidRDefault="00AC6C85">
      <w:pPr>
        <w:pStyle w:val="BodyText"/>
        <w:rPr>
          <w:sz w:val="20"/>
        </w:rPr>
      </w:pPr>
    </w:p>
    <w:p w:rsidR="00AC6C85" w:rsidRDefault="00AC6C85">
      <w:pPr>
        <w:pStyle w:val="BodyText"/>
        <w:rPr>
          <w:sz w:val="20"/>
        </w:rPr>
      </w:pPr>
    </w:p>
    <w:p w:rsidR="00AC6C85" w:rsidRDefault="00AC6C85">
      <w:pPr>
        <w:pStyle w:val="BodyText"/>
        <w:rPr>
          <w:sz w:val="20"/>
        </w:rPr>
      </w:pPr>
    </w:p>
    <w:p w:rsidR="00AC6C85" w:rsidRDefault="00AC6C85">
      <w:pPr>
        <w:pStyle w:val="BodyText"/>
        <w:rPr>
          <w:sz w:val="20"/>
        </w:rPr>
      </w:pPr>
    </w:p>
    <w:p w:rsidR="00F95EE8" w:rsidRDefault="00F95EE8">
      <w:pPr>
        <w:pStyle w:val="BodyText"/>
        <w:rPr>
          <w:sz w:val="20"/>
        </w:rPr>
      </w:pPr>
    </w:p>
    <w:p w:rsidR="00F95EE8" w:rsidRDefault="00F95EE8">
      <w:pPr>
        <w:pStyle w:val="BodyText"/>
        <w:rPr>
          <w:sz w:val="20"/>
        </w:rPr>
      </w:pPr>
    </w:p>
    <w:p w:rsidR="00241878" w:rsidRDefault="00241878" w:rsidP="00241878">
      <w:pPr>
        <w:pStyle w:val="Heading1"/>
        <w:ind w:left="0"/>
        <w:jc w:val="both"/>
        <w:rPr>
          <w:b w:val="0"/>
          <w:bCs w:val="0"/>
          <w:sz w:val="20"/>
        </w:rPr>
      </w:pPr>
    </w:p>
    <w:p w:rsidR="00AC6C85" w:rsidRPr="00AC6C85" w:rsidRDefault="00AC6C85" w:rsidP="00241878">
      <w:pPr>
        <w:pStyle w:val="Heading1"/>
        <w:ind w:left="0"/>
        <w:jc w:val="both"/>
        <w:rPr>
          <w:b w:val="0"/>
          <w:bCs w:val="0"/>
        </w:rPr>
      </w:pPr>
      <w:r w:rsidRPr="00AC6C85">
        <w:rPr>
          <w:b w:val="0"/>
          <w:bCs w:val="0"/>
        </w:rPr>
        <w:t>Geospatial Information Sectional Committee LITD 22</w:t>
      </w:r>
    </w:p>
    <w:p w:rsidR="00AC6C85" w:rsidRDefault="00AC6C85">
      <w:pPr>
        <w:pStyle w:val="Heading1"/>
        <w:jc w:val="both"/>
      </w:pPr>
    </w:p>
    <w:p w:rsidR="00DC1426" w:rsidRDefault="00CB07E3">
      <w:pPr>
        <w:pStyle w:val="Heading1"/>
        <w:jc w:val="both"/>
      </w:pPr>
      <w:r>
        <w:t>NATIONAL</w:t>
      </w:r>
      <w:r>
        <w:rPr>
          <w:spacing w:val="-8"/>
        </w:rPr>
        <w:t xml:space="preserve"> </w:t>
      </w:r>
      <w:r>
        <w:t>FOREWORD</w:t>
      </w:r>
    </w:p>
    <w:p w:rsidR="00DC1426" w:rsidRDefault="00DC1426">
      <w:pPr>
        <w:pStyle w:val="BodyText"/>
      </w:pPr>
    </w:p>
    <w:p w:rsidR="00DC1426" w:rsidRPr="00AC6C85" w:rsidRDefault="00CB07E3" w:rsidP="00C36D8C">
      <w:pPr>
        <w:pStyle w:val="BodyText"/>
        <w:ind w:left="100"/>
        <w:jc w:val="both"/>
      </w:pPr>
      <w:r>
        <w:t>This</w:t>
      </w:r>
      <w:r>
        <w:rPr>
          <w:spacing w:val="30"/>
        </w:rPr>
        <w:t xml:space="preserve"> </w:t>
      </w:r>
      <w:r>
        <w:t>Indian</w:t>
      </w:r>
      <w:r>
        <w:rPr>
          <w:spacing w:val="30"/>
        </w:rPr>
        <w:t xml:space="preserve"> </w:t>
      </w:r>
      <w:r>
        <w:t>Standard</w:t>
      </w:r>
      <w:r w:rsidR="00BF5392">
        <w:rPr>
          <w:spacing w:val="15"/>
        </w:rPr>
        <w:t xml:space="preserve"> (Part 1)</w:t>
      </w:r>
      <w:r>
        <w:rPr>
          <w:spacing w:val="15"/>
        </w:rPr>
        <w:t xml:space="preserve"> </w:t>
      </w:r>
      <w:r>
        <w:t>which</w:t>
      </w:r>
      <w:r>
        <w:rPr>
          <w:spacing w:val="15"/>
        </w:rPr>
        <w:t xml:space="preserve"> </w:t>
      </w:r>
      <w:r>
        <w:t>is</w:t>
      </w:r>
      <w:r>
        <w:rPr>
          <w:spacing w:val="15"/>
        </w:rPr>
        <w:t xml:space="preserve"> </w:t>
      </w:r>
      <w:r>
        <w:t>identical</w:t>
      </w:r>
      <w:r>
        <w:rPr>
          <w:spacing w:val="15"/>
        </w:rPr>
        <w:t xml:space="preserve"> </w:t>
      </w:r>
      <w:r w:rsidR="00F92578">
        <w:t>to</w:t>
      </w:r>
      <w:r>
        <w:rPr>
          <w:spacing w:val="9"/>
        </w:rPr>
        <w:t xml:space="preserve"> </w:t>
      </w:r>
      <w:r>
        <w:t>ISO</w:t>
      </w:r>
      <w:r>
        <w:rPr>
          <w:spacing w:val="15"/>
        </w:rPr>
        <w:t xml:space="preserve"> </w:t>
      </w:r>
      <w:r>
        <w:t>19136-</w:t>
      </w:r>
      <w:proofErr w:type="gramStart"/>
      <w:r>
        <w:t>1</w:t>
      </w:r>
      <w:r w:rsidR="00C36D8C">
        <w:t xml:space="preserve"> </w:t>
      </w:r>
      <w:r>
        <w:t>:</w:t>
      </w:r>
      <w:proofErr w:type="gramEnd"/>
      <w:r w:rsidR="00C36D8C">
        <w:t xml:space="preserve"> </w:t>
      </w:r>
      <w:r>
        <w:t>2020</w:t>
      </w:r>
      <w:r>
        <w:rPr>
          <w:spacing w:val="15"/>
        </w:rPr>
        <w:t xml:space="preserve"> </w:t>
      </w:r>
      <w:r>
        <w:t>‘Geographic</w:t>
      </w:r>
      <w:r>
        <w:rPr>
          <w:spacing w:val="15"/>
        </w:rPr>
        <w:t xml:space="preserve"> </w:t>
      </w:r>
      <w:r>
        <w:t>information</w:t>
      </w:r>
      <w:r w:rsidR="00C36D8C">
        <w:t xml:space="preserve"> </w:t>
      </w:r>
      <w:r>
        <w:t>—</w:t>
      </w:r>
      <w:r w:rsidR="00143E6C">
        <w:rPr>
          <w:spacing w:val="1"/>
        </w:rPr>
        <w:t xml:space="preserve"> </w:t>
      </w:r>
      <w:r>
        <w:t>Geography</w:t>
      </w:r>
      <w:r>
        <w:rPr>
          <w:spacing w:val="1"/>
        </w:rPr>
        <w:t xml:space="preserve"> </w:t>
      </w:r>
      <w:r>
        <w:t>Markup</w:t>
      </w:r>
      <w:r>
        <w:rPr>
          <w:spacing w:val="1"/>
        </w:rPr>
        <w:t xml:space="preserve"> </w:t>
      </w:r>
      <w:r>
        <w:t>Language</w:t>
      </w:r>
      <w:r>
        <w:rPr>
          <w:spacing w:val="1"/>
        </w:rPr>
        <w:t xml:space="preserve"> </w:t>
      </w:r>
      <w:r>
        <w:t>(GML)</w:t>
      </w:r>
      <w:r>
        <w:rPr>
          <w:spacing w:val="1"/>
        </w:rPr>
        <w:t xml:space="preserve"> </w:t>
      </w:r>
      <w:r>
        <w:t>—</w:t>
      </w:r>
      <w:r>
        <w:rPr>
          <w:spacing w:val="1"/>
        </w:rPr>
        <w:t xml:space="preserve"> </w:t>
      </w:r>
      <w:r>
        <w:t>Part</w:t>
      </w:r>
      <w:r>
        <w:rPr>
          <w:spacing w:val="1"/>
        </w:rPr>
        <w:t xml:space="preserve"> </w:t>
      </w:r>
      <w:r>
        <w:t>1</w:t>
      </w:r>
      <w:r>
        <w:rPr>
          <w:spacing w:val="1"/>
        </w:rPr>
        <w:t xml:space="preserve"> </w:t>
      </w:r>
      <w:r>
        <w:t>Fundamentals’</w:t>
      </w:r>
      <w:r>
        <w:rPr>
          <w:spacing w:val="1"/>
        </w:rPr>
        <w:t xml:space="preserve"> </w:t>
      </w:r>
      <w:r>
        <w:t>issued</w:t>
      </w:r>
      <w:r>
        <w:rPr>
          <w:spacing w:val="1"/>
        </w:rPr>
        <w:t xml:space="preserve"> </w:t>
      </w:r>
      <w:r>
        <w:t>by</w:t>
      </w:r>
      <w:r>
        <w:rPr>
          <w:spacing w:val="1"/>
        </w:rPr>
        <w:t xml:space="preserve"> </w:t>
      </w:r>
      <w:r w:rsidR="00F92578">
        <w:rPr>
          <w:spacing w:val="1"/>
        </w:rPr>
        <w:t xml:space="preserve">the </w:t>
      </w:r>
      <w:r w:rsidR="00F92578" w:rsidRPr="00F92578">
        <w:t>International Organiz</w:t>
      </w:r>
      <w:r w:rsidR="00F92578">
        <w:t xml:space="preserve">ation for Standardization (ISO) was </w:t>
      </w:r>
      <w:r>
        <w:rPr>
          <w:i/>
          <w:spacing w:val="-58"/>
        </w:rPr>
        <w:t xml:space="preserve"> </w:t>
      </w:r>
      <w:r>
        <w:t>adopted by the Bureau of Indian Standards on the recommendation of the Geospatial Information</w:t>
      </w:r>
      <w:r>
        <w:rPr>
          <w:spacing w:val="-57"/>
        </w:rPr>
        <w:t xml:space="preserve"> </w:t>
      </w:r>
      <w:r w:rsidR="00C36D8C">
        <w:rPr>
          <w:spacing w:val="-57"/>
        </w:rPr>
        <w:t xml:space="preserve"> </w:t>
      </w:r>
      <w:r>
        <w:t>Sectional Committee</w:t>
      </w:r>
      <w:r w:rsidR="00C36D8C">
        <w:t>,</w:t>
      </w:r>
      <w:r>
        <w:t xml:space="preserve"> LITD 22 and the ap</w:t>
      </w:r>
      <w:r w:rsidR="00F92578">
        <w:t>proval of the Electronics and Information Technology</w:t>
      </w:r>
      <w:r>
        <w:t xml:space="preserve"> Division Council.</w:t>
      </w:r>
    </w:p>
    <w:p w:rsidR="00DC1426" w:rsidRDefault="00DC1426">
      <w:pPr>
        <w:pStyle w:val="BodyText"/>
        <w:rPr>
          <w:sz w:val="22"/>
        </w:rPr>
      </w:pPr>
    </w:p>
    <w:p w:rsidR="00AC6C85" w:rsidRDefault="00AC6C85" w:rsidP="000868B4">
      <w:pPr>
        <w:pStyle w:val="BodyText"/>
        <w:jc w:val="both"/>
      </w:pPr>
      <w:r>
        <w:t xml:space="preserve">IS 16626: </w:t>
      </w:r>
      <w:r w:rsidRPr="00AC6C85">
        <w:t>2017</w:t>
      </w:r>
      <w:r>
        <w:t xml:space="preserve"> </w:t>
      </w:r>
      <w:r w:rsidR="000868B4">
        <w:t xml:space="preserve">‘Geographic Information - Geography Markup Language (GML)’ </w:t>
      </w:r>
      <w:r>
        <w:t xml:space="preserve">was originally published in 2017 and was identical </w:t>
      </w:r>
      <w:r w:rsidR="00C36D8C">
        <w:t>to</w:t>
      </w:r>
      <w:r>
        <w:t xml:space="preserve"> ISO 19136</w:t>
      </w:r>
      <w:r w:rsidRPr="00AC6C85">
        <w:t xml:space="preserve">: </w:t>
      </w:r>
      <w:r w:rsidR="000868B4">
        <w:t>2007</w:t>
      </w:r>
      <w:r w:rsidR="00C36D8C">
        <w:t xml:space="preserve">. ISO 19136 has been divided in 2 parts. This standard has been revised to align with latest version of </w:t>
      </w:r>
      <w:r w:rsidR="000868B4" w:rsidRPr="000868B4">
        <w:t>ISO 19136-</w:t>
      </w:r>
      <w:proofErr w:type="gramStart"/>
      <w:r w:rsidR="000868B4" w:rsidRPr="000868B4">
        <w:t>1</w:t>
      </w:r>
      <w:r w:rsidR="00C36D8C">
        <w:t xml:space="preserve"> </w:t>
      </w:r>
      <w:r w:rsidR="000868B4" w:rsidRPr="000868B4">
        <w:t>:</w:t>
      </w:r>
      <w:proofErr w:type="gramEnd"/>
      <w:r w:rsidR="000868B4" w:rsidRPr="000868B4">
        <w:t xml:space="preserve"> 2020.</w:t>
      </w:r>
    </w:p>
    <w:p w:rsidR="00664925" w:rsidRDefault="00664925" w:rsidP="00664925">
      <w:pPr>
        <w:pStyle w:val="BodyText"/>
      </w:pPr>
    </w:p>
    <w:p w:rsidR="00F46D74" w:rsidRDefault="00F46D74" w:rsidP="00F46D74">
      <w:pPr>
        <w:pStyle w:val="BodyText"/>
      </w:pPr>
      <w:r>
        <w:t>The main changes compared to the previous edition are as follows:</w:t>
      </w:r>
    </w:p>
    <w:p w:rsidR="00F46D74" w:rsidRDefault="00F46D74" w:rsidP="00F46D74">
      <w:pPr>
        <w:pStyle w:val="BodyText"/>
      </w:pPr>
    </w:p>
    <w:p w:rsidR="00F46D74" w:rsidRPr="00117B04" w:rsidRDefault="00F46D74" w:rsidP="00F46D74">
      <w:pPr>
        <w:pStyle w:val="BodyText"/>
        <w:spacing w:line="276" w:lineRule="auto"/>
        <w:jc w:val="both"/>
        <w:rPr>
          <w:sz w:val="10"/>
          <w:szCs w:val="10"/>
        </w:rPr>
      </w:pPr>
    </w:p>
    <w:p w:rsidR="00F46D74" w:rsidRDefault="00F46D74" w:rsidP="00F05CAA">
      <w:pPr>
        <w:pStyle w:val="BodyText"/>
        <w:numPr>
          <w:ilvl w:val="0"/>
          <w:numId w:val="7"/>
        </w:numPr>
        <w:spacing w:line="276" w:lineRule="auto"/>
        <w:jc w:val="both"/>
      </w:pPr>
      <w:r>
        <w:t xml:space="preserve">the XML attribute </w:t>
      </w:r>
      <w:proofErr w:type="spellStart"/>
      <w:r>
        <w:t>gml:id</w:t>
      </w:r>
      <w:proofErr w:type="spellEnd"/>
      <w:r>
        <w:t xml:space="preserve"> in </w:t>
      </w:r>
      <w:proofErr w:type="gramStart"/>
      <w:r>
        <w:t>gml:AbstractGMLType</w:t>
      </w:r>
      <w:proofErr w:type="gramEnd"/>
      <w:r>
        <w:t xml:space="preserve"> has been made optional;</w:t>
      </w:r>
    </w:p>
    <w:p w:rsidR="00F46D74" w:rsidRPr="00117B04" w:rsidRDefault="00F46D74" w:rsidP="00F46D74">
      <w:pPr>
        <w:pStyle w:val="BodyText"/>
        <w:spacing w:line="276" w:lineRule="auto"/>
        <w:jc w:val="both"/>
        <w:rPr>
          <w:sz w:val="10"/>
          <w:szCs w:val="10"/>
        </w:rPr>
      </w:pPr>
    </w:p>
    <w:p w:rsidR="00F46D74" w:rsidRDefault="00F46D74" w:rsidP="00F05CAA">
      <w:pPr>
        <w:pStyle w:val="BodyText"/>
        <w:numPr>
          <w:ilvl w:val="0"/>
          <w:numId w:val="7"/>
        </w:numPr>
        <w:spacing w:line="276" w:lineRule="auto"/>
        <w:jc w:val="both"/>
      </w:pPr>
      <w:r>
        <w:t xml:space="preserve">the elements </w:t>
      </w:r>
      <w:proofErr w:type="spellStart"/>
      <w:proofErr w:type="gramStart"/>
      <w:r>
        <w:t>gml:AbstractRing</w:t>
      </w:r>
      <w:proofErr w:type="spellEnd"/>
      <w:proofErr w:type="gramEnd"/>
      <w:r>
        <w:t xml:space="preserve"> and </w:t>
      </w:r>
      <w:proofErr w:type="spellStart"/>
      <w:r>
        <w:t>gml:Shell</w:t>
      </w:r>
      <w:proofErr w:type="spellEnd"/>
      <w:r>
        <w:t xml:space="preserve"> have been added to the </w:t>
      </w:r>
      <w:proofErr w:type="spellStart"/>
      <w:r>
        <w:t>substitutionGroups</w:t>
      </w:r>
      <w:proofErr w:type="spellEnd"/>
      <w:r>
        <w:t xml:space="preserve"> </w:t>
      </w:r>
      <w:proofErr w:type="spellStart"/>
      <w:r>
        <w:t>gml:AbstractCurve</w:t>
      </w:r>
      <w:proofErr w:type="spellEnd"/>
      <w:r>
        <w:t xml:space="preserve"> and </w:t>
      </w:r>
      <w:proofErr w:type="spellStart"/>
      <w:r>
        <w:t>gml:AbstractSurface</w:t>
      </w:r>
      <w:proofErr w:type="spellEnd"/>
      <w:r>
        <w:t xml:space="preserve"> respectively;</w:t>
      </w:r>
    </w:p>
    <w:p w:rsidR="00F46D74" w:rsidRPr="00117B04" w:rsidRDefault="00F46D74" w:rsidP="00F46D74">
      <w:pPr>
        <w:pStyle w:val="BodyText"/>
        <w:spacing w:line="276" w:lineRule="auto"/>
        <w:jc w:val="both"/>
        <w:rPr>
          <w:sz w:val="10"/>
          <w:szCs w:val="10"/>
        </w:rPr>
      </w:pPr>
    </w:p>
    <w:p w:rsidR="00F46D74" w:rsidRDefault="00F46D74" w:rsidP="00F05CAA">
      <w:pPr>
        <w:pStyle w:val="BodyText"/>
        <w:numPr>
          <w:ilvl w:val="0"/>
          <w:numId w:val="7"/>
        </w:numPr>
        <w:spacing w:line="276" w:lineRule="auto"/>
        <w:jc w:val="both"/>
      </w:pPr>
      <w:r>
        <w:t xml:space="preserve">the types </w:t>
      </w:r>
      <w:proofErr w:type="spellStart"/>
      <w:proofErr w:type="gramStart"/>
      <w:r>
        <w:t>gml:AbstractRingType</w:t>
      </w:r>
      <w:proofErr w:type="spellEnd"/>
      <w:proofErr w:type="gramEnd"/>
      <w:r>
        <w:t xml:space="preserve"> and </w:t>
      </w:r>
      <w:proofErr w:type="spellStart"/>
      <w:r>
        <w:t>gml:ShellType</w:t>
      </w:r>
      <w:proofErr w:type="spellEnd"/>
      <w:r>
        <w:t xml:space="preserve"> are now extended from base types </w:t>
      </w:r>
      <w:proofErr w:type="spellStart"/>
      <w:r>
        <w:t>gml:AbstractCurveType</w:t>
      </w:r>
      <w:proofErr w:type="spellEnd"/>
      <w:r>
        <w:t xml:space="preserve"> and </w:t>
      </w:r>
      <w:proofErr w:type="spellStart"/>
      <w:r>
        <w:t>gml:AbstractSurfaceType</w:t>
      </w:r>
      <w:proofErr w:type="spellEnd"/>
      <w:r>
        <w:t xml:space="preserve"> respectively;</w:t>
      </w:r>
    </w:p>
    <w:p w:rsidR="00F46D74" w:rsidRPr="00117B04" w:rsidRDefault="00F46D74" w:rsidP="00664925">
      <w:pPr>
        <w:pStyle w:val="BodyText"/>
        <w:rPr>
          <w:sz w:val="10"/>
          <w:szCs w:val="10"/>
        </w:rPr>
      </w:pPr>
    </w:p>
    <w:p w:rsidR="00F46D74" w:rsidRDefault="00CC65D8" w:rsidP="00F05CAA">
      <w:pPr>
        <w:pStyle w:val="BodyText"/>
        <w:numPr>
          <w:ilvl w:val="0"/>
          <w:numId w:val="7"/>
        </w:numPr>
        <w:jc w:val="both"/>
      </w:pPr>
      <w:r w:rsidRPr="00CC65D8">
        <w:t>These changes correct inconsistencies with ISO 19107 without breaking the validity of instance documents created using the GML 3.2.1 schema. i.e. all GML 3.2 instance documents that are valid against the GML 3.2.1 schema are also valid against the GML 3.2.2 schema.</w:t>
      </w:r>
    </w:p>
    <w:p w:rsidR="00F46D74" w:rsidRPr="00117B04" w:rsidRDefault="00F46D74" w:rsidP="00664925">
      <w:pPr>
        <w:pStyle w:val="BodyText"/>
        <w:rPr>
          <w:sz w:val="28"/>
          <w:szCs w:val="28"/>
        </w:rPr>
      </w:pPr>
    </w:p>
    <w:p w:rsidR="009A31AC" w:rsidRDefault="009A31AC" w:rsidP="009A31AC">
      <w:pPr>
        <w:pStyle w:val="BodyText"/>
      </w:pPr>
      <w:r>
        <w:t>This standard is published in two parts. The other part in this series is:</w:t>
      </w:r>
    </w:p>
    <w:p w:rsidR="009A31AC" w:rsidRDefault="009A31AC" w:rsidP="009A31AC">
      <w:pPr>
        <w:pStyle w:val="BodyText"/>
      </w:pPr>
      <w:r>
        <w:t xml:space="preserve">Part 2: </w:t>
      </w:r>
      <w:r w:rsidRPr="009A31AC">
        <w:t>Extended Schemas and Encoding Rules</w:t>
      </w:r>
    </w:p>
    <w:p w:rsidR="009A31AC" w:rsidRDefault="009A31AC" w:rsidP="009A31AC">
      <w:pPr>
        <w:pStyle w:val="BodyText"/>
      </w:pPr>
    </w:p>
    <w:p w:rsidR="00DC1426" w:rsidRPr="005E094F" w:rsidRDefault="00CB07E3" w:rsidP="00FB7C05">
      <w:pPr>
        <w:pStyle w:val="BodyText"/>
        <w:ind w:left="100" w:right="-39"/>
        <w:jc w:val="both"/>
      </w:pPr>
      <w:r>
        <w:t xml:space="preserve">The text </w:t>
      </w:r>
      <w:r w:rsidR="002B5E75">
        <w:t xml:space="preserve">of ISO Standard has been </w:t>
      </w:r>
      <w:r>
        <w:t>approved as suitable for publication as an Indian Standard</w:t>
      </w:r>
      <w:r>
        <w:rPr>
          <w:spacing w:val="1"/>
        </w:rPr>
        <w:t xml:space="preserve"> </w:t>
      </w:r>
      <w:r>
        <w:t>without</w:t>
      </w:r>
      <w:r>
        <w:rPr>
          <w:spacing w:val="1"/>
        </w:rPr>
        <w:t xml:space="preserve"> </w:t>
      </w:r>
      <w:r>
        <w:t>deviations.</w:t>
      </w:r>
      <w:r>
        <w:rPr>
          <w:spacing w:val="1"/>
        </w:rPr>
        <w:t xml:space="preserve"> </w:t>
      </w:r>
      <w:r>
        <w:t>Certain</w:t>
      </w:r>
      <w:r>
        <w:rPr>
          <w:spacing w:val="1"/>
        </w:rPr>
        <w:t xml:space="preserve"> </w:t>
      </w:r>
      <w:r>
        <w:t>conventions</w:t>
      </w:r>
      <w:r>
        <w:rPr>
          <w:spacing w:val="1"/>
        </w:rPr>
        <w:t xml:space="preserve"> </w:t>
      </w:r>
      <w:r>
        <w:t>are</w:t>
      </w:r>
      <w:r>
        <w:rPr>
          <w:spacing w:val="1"/>
        </w:rPr>
        <w:t xml:space="preserve"> </w:t>
      </w:r>
      <w:r>
        <w:t>however</w:t>
      </w:r>
      <w:r>
        <w:rPr>
          <w:spacing w:val="1"/>
        </w:rPr>
        <w:t xml:space="preserve"> </w:t>
      </w:r>
      <w:r>
        <w:t>not</w:t>
      </w:r>
      <w:r>
        <w:rPr>
          <w:spacing w:val="1"/>
        </w:rPr>
        <w:t xml:space="preserve"> </w:t>
      </w:r>
      <w:r>
        <w:t>identical</w:t>
      </w:r>
      <w:r>
        <w:rPr>
          <w:spacing w:val="1"/>
        </w:rPr>
        <w:t xml:space="preserve"> </w:t>
      </w:r>
      <w:r>
        <w:t>to</w:t>
      </w:r>
      <w:r>
        <w:rPr>
          <w:spacing w:val="1"/>
        </w:rPr>
        <w:t xml:space="preserve"> </w:t>
      </w:r>
      <w:r>
        <w:t>those</w:t>
      </w:r>
      <w:r>
        <w:rPr>
          <w:spacing w:val="1"/>
        </w:rPr>
        <w:t xml:space="preserve"> </w:t>
      </w:r>
      <w:r>
        <w:t>used</w:t>
      </w:r>
      <w:r>
        <w:rPr>
          <w:spacing w:val="1"/>
        </w:rPr>
        <w:t xml:space="preserve"> </w:t>
      </w:r>
      <w:r>
        <w:t>in</w:t>
      </w:r>
      <w:r>
        <w:rPr>
          <w:spacing w:val="1"/>
        </w:rPr>
        <w:t xml:space="preserve"> </w:t>
      </w:r>
      <w:r>
        <w:t>Indian</w:t>
      </w:r>
      <w:r>
        <w:rPr>
          <w:spacing w:val="1"/>
        </w:rPr>
        <w:t xml:space="preserve"> </w:t>
      </w:r>
      <w:r>
        <w:t>Standards. Attention is particularly drawn to the following:</w:t>
      </w:r>
    </w:p>
    <w:p w:rsidR="00DC1426" w:rsidRDefault="00DC1426" w:rsidP="00FB7C05">
      <w:pPr>
        <w:pStyle w:val="BodyText"/>
        <w:ind w:right="-39"/>
        <w:rPr>
          <w:sz w:val="21"/>
        </w:rPr>
      </w:pPr>
    </w:p>
    <w:p w:rsidR="00DC1426" w:rsidRDefault="00CB07E3" w:rsidP="00FB7C05">
      <w:pPr>
        <w:pStyle w:val="ListParagraph"/>
        <w:numPr>
          <w:ilvl w:val="0"/>
          <w:numId w:val="1"/>
        </w:numPr>
        <w:tabs>
          <w:tab w:val="left" w:pos="437"/>
        </w:tabs>
        <w:spacing w:before="0"/>
        <w:ind w:right="-39" w:hanging="360"/>
        <w:rPr>
          <w:sz w:val="24"/>
        </w:rPr>
      </w:pPr>
      <w:r>
        <w:rPr>
          <w:sz w:val="24"/>
        </w:rPr>
        <w:t>Wherever</w:t>
      </w:r>
      <w:r>
        <w:rPr>
          <w:spacing w:val="13"/>
          <w:sz w:val="24"/>
        </w:rPr>
        <w:t xml:space="preserve"> </w:t>
      </w:r>
      <w:r>
        <w:rPr>
          <w:sz w:val="24"/>
        </w:rPr>
        <w:t>the</w:t>
      </w:r>
      <w:r>
        <w:rPr>
          <w:spacing w:val="13"/>
          <w:sz w:val="24"/>
        </w:rPr>
        <w:t xml:space="preserve"> </w:t>
      </w:r>
      <w:r>
        <w:rPr>
          <w:sz w:val="24"/>
        </w:rPr>
        <w:t>words</w:t>
      </w:r>
      <w:r>
        <w:rPr>
          <w:spacing w:val="14"/>
          <w:sz w:val="24"/>
        </w:rPr>
        <w:t xml:space="preserve"> </w:t>
      </w:r>
      <w:r>
        <w:rPr>
          <w:sz w:val="24"/>
        </w:rPr>
        <w:t>‘International</w:t>
      </w:r>
      <w:r>
        <w:rPr>
          <w:spacing w:val="13"/>
          <w:sz w:val="24"/>
        </w:rPr>
        <w:t xml:space="preserve"> </w:t>
      </w:r>
      <w:r>
        <w:rPr>
          <w:sz w:val="24"/>
        </w:rPr>
        <w:t>Standard’</w:t>
      </w:r>
      <w:r>
        <w:rPr>
          <w:spacing w:val="-1"/>
          <w:sz w:val="24"/>
        </w:rPr>
        <w:t xml:space="preserve"> </w:t>
      </w:r>
      <w:r>
        <w:rPr>
          <w:sz w:val="24"/>
        </w:rPr>
        <w:t>appear</w:t>
      </w:r>
      <w:r>
        <w:rPr>
          <w:spacing w:val="-2"/>
          <w:sz w:val="24"/>
        </w:rPr>
        <w:t xml:space="preserve"> </w:t>
      </w:r>
      <w:r>
        <w:rPr>
          <w:sz w:val="24"/>
        </w:rPr>
        <w:t>referring</w:t>
      </w:r>
      <w:r>
        <w:rPr>
          <w:spacing w:val="-1"/>
          <w:sz w:val="24"/>
        </w:rPr>
        <w:t xml:space="preserve"> </w:t>
      </w:r>
      <w:r>
        <w:rPr>
          <w:sz w:val="24"/>
        </w:rPr>
        <w:t>to</w:t>
      </w:r>
      <w:r>
        <w:rPr>
          <w:spacing w:val="-1"/>
          <w:sz w:val="24"/>
        </w:rPr>
        <w:t xml:space="preserve"> </w:t>
      </w:r>
      <w:r>
        <w:rPr>
          <w:sz w:val="24"/>
        </w:rPr>
        <w:t>this</w:t>
      </w:r>
      <w:r>
        <w:rPr>
          <w:spacing w:val="-2"/>
          <w:sz w:val="24"/>
        </w:rPr>
        <w:t xml:space="preserve"> </w:t>
      </w:r>
      <w:r>
        <w:rPr>
          <w:sz w:val="24"/>
        </w:rPr>
        <w:t>standard,</w:t>
      </w:r>
      <w:r>
        <w:rPr>
          <w:spacing w:val="-1"/>
          <w:sz w:val="24"/>
        </w:rPr>
        <w:t xml:space="preserve"> </w:t>
      </w:r>
      <w:r>
        <w:rPr>
          <w:sz w:val="24"/>
        </w:rPr>
        <w:t>they</w:t>
      </w:r>
      <w:r>
        <w:rPr>
          <w:spacing w:val="-1"/>
          <w:sz w:val="24"/>
        </w:rPr>
        <w:t xml:space="preserve"> </w:t>
      </w:r>
      <w:r>
        <w:rPr>
          <w:sz w:val="24"/>
        </w:rPr>
        <w:t>should</w:t>
      </w:r>
      <w:r>
        <w:rPr>
          <w:spacing w:val="-2"/>
          <w:sz w:val="24"/>
        </w:rPr>
        <w:t xml:space="preserve"> </w:t>
      </w:r>
      <w:r>
        <w:rPr>
          <w:sz w:val="24"/>
        </w:rPr>
        <w:t>be</w:t>
      </w:r>
      <w:r>
        <w:rPr>
          <w:spacing w:val="-57"/>
          <w:sz w:val="24"/>
        </w:rPr>
        <w:t xml:space="preserve"> </w:t>
      </w:r>
      <w:r>
        <w:rPr>
          <w:sz w:val="24"/>
        </w:rPr>
        <w:t>read as ‘Indian Standard’.</w:t>
      </w:r>
    </w:p>
    <w:p w:rsidR="002B5E75" w:rsidRPr="002B5E75" w:rsidRDefault="002B5E75" w:rsidP="00FB7C05">
      <w:pPr>
        <w:pStyle w:val="ListParagraph"/>
        <w:tabs>
          <w:tab w:val="left" w:pos="437"/>
        </w:tabs>
        <w:spacing w:before="0"/>
        <w:ind w:left="460" w:right="-39" w:firstLine="0"/>
        <w:rPr>
          <w:sz w:val="16"/>
          <w:szCs w:val="16"/>
        </w:rPr>
      </w:pPr>
    </w:p>
    <w:p w:rsidR="00DC1426" w:rsidRDefault="00CB07E3" w:rsidP="00FB7C05">
      <w:pPr>
        <w:pStyle w:val="ListParagraph"/>
        <w:numPr>
          <w:ilvl w:val="0"/>
          <w:numId w:val="1"/>
        </w:numPr>
        <w:tabs>
          <w:tab w:val="left" w:pos="450"/>
        </w:tabs>
        <w:spacing w:before="27"/>
        <w:ind w:right="-39" w:hanging="360"/>
        <w:rPr>
          <w:sz w:val="24"/>
        </w:rPr>
      </w:pPr>
      <w:r>
        <w:rPr>
          <w:sz w:val="24"/>
        </w:rPr>
        <w:t>Comma</w:t>
      </w:r>
      <w:r>
        <w:rPr>
          <w:spacing w:val="13"/>
          <w:sz w:val="24"/>
        </w:rPr>
        <w:t xml:space="preserve"> </w:t>
      </w:r>
      <w:r>
        <w:rPr>
          <w:sz w:val="24"/>
        </w:rPr>
        <w:t>(,)</w:t>
      </w:r>
      <w:r>
        <w:rPr>
          <w:spacing w:val="14"/>
          <w:sz w:val="24"/>
        </w:rPr>
        <w:t xml:space="preserve"> </w:t>
      </w:r>
      <w:r>
        <w:rPr>
          <w:sz w:val="24"/>
        </w:rPr>
        <w:t>has</w:t>
      </w:r>
      <w:r>
        <w:rPr>
          <w:spacing w:val="14"/>
          <w:sz w:val="24"/>
        </w:rPr>
        <w:t xml:space="preserve"> </w:t>
      </w:r>
      <w:r>
        <w:rPr>
          <w:sz w:val="24"/>
        </w:rPr>
        <w:t>been</w:t>
      </w:r>
      <w:r>
        <w:rPr>
          <w:spacing w:val="13"/>
          <w:sz w:val="24"/>
        </w:rPr>
        <w:t xml:space="preserve"> </w:t>
      </w:r>
      <w:r>
        <w:rPr>
          <w:sz w:val="24"/>
        </w:rPr>
        <w:t>used</w:t>
      </w:r>
      <w:r>
        <w:rPr>
          <w:spacing w:val="14"/>
          <w:sz w:val="24"/>
        </w:rPr>
        <w:t xml:space="preserve"> </w:t>
      </w:r>
      <w:r>
        <w:rPr>
          <w:sz w:val="24"/>
        </w:rPr>
        <w:t>as</w:t>
      </w:r>
      <w:r>
        <w:rPr>
          <w:spacing w:val="14"/>
          <w:sz w:val="24"/>
        </w:rPr>
        <w:t xml:space="preserve"> </w:t>
      </w:r>
      <w:r>
        <w:rPr>
          <w:sz w:val="24"/>
        </w:rPr>
        <w:t>a</w:t>
      </w:r>
      <w:r>
        <w:rPr>
          <w:spacing w:val="-2"/>
          <w:sz w:val="24"/>
        </w:rPr>
        <w:t xml:space="preserve"> </w:t>
      </w:r>
      <w:r>
        <w:rPr>
          <w:sz w:val="24"/>
        </w:rPr>
        <w:t>decimal</w:t>
      </w:r>
      <w:r>
        <w:rPr>
          <w:spacing w:val="-1"/>
          <w:sz w:val="24"/>
        </w:rPr>
        <w:t xml:space="preserve"> </w:t>
      </w:r>
      <w:r>
        <w:rPr>
          <w:sz w:val="24"/>
        </w:rPr>
        <w:t>marker</w:t>
      </w:r>
      <w:r>
        <w:rPr>
          <w:spacing w:val="-1"/>
          <w:sz w:val="24"/>
        </w:rPr>
        <w:t xml:space="preserve"> </w:t>
      </w:r>
      <w:r>
        <w:rPr>
          <w:sz w:val="24"/>
        </w:rPr>
        <w:t>while</w:t>
      </w:r>
      <w:r>
        <w:rPr>
          <w:spacing w:val="-1"/>
          <w:sz w:val="24"/>
        </w:rPr>
        <w:t xml:space="preserve"> </w:t>
      </w:r>
      <w:r>
        <w:rPr>
          <w:sz w:val="24"/>
        </w:rPr>
        <w:t>in</w:t>
      </w:r>
      <w:r>
        <w:rPr>
          <w:spacing w:val="-1"/>
          <w:sz w:val="24"/>
        </w:rPr>
        <w:t xml:space="preserve"> </w:t>
      </w:r>
      <w:r>
        <w:rPr>
          <w:sz w:val="24"/>
        </w:rPr>
        <w:t>Indian</w:t>
      </w:r>
      <w:r>
        <w:rPr>
          <w:spacing w:val="-1"/>
          <w:sz w:val="24"/>
        </w:rPr>
        <w:t xml:space="preserve"> </w:t>
      </w:r>
      <w:r>
        <w:rPr>
          <w:sz w:val="24"/>
        </w:rPr>
        <w:t>Standards,</w:t>
      </w:r>
      <w:r>
        <w:rPr>
          <w:spacing w:val="-1"/>
          <w:sz w:val="24"/>
        </w:rPr>
        <w:t xml:space="preserve"> </w:t>
      </w:r>
      <w:r>
        <w:rPr>
          <w:sz w:val="24"/>
        </w:rPr>
        <w:t>the</w:t>
      </w:r>
      <w:r>
        <w:rPr>
          <w:spacing w:val="-1"/>
          <w:sz w:val="24"/>
        </w:rPr>
        <w:t xml:space="preserve"> </w:t>
      </w:r>
      <w:r>
        <w:rPr>
          <w:sz w:val="24"/>
        </w:rPr>
        <w:t>current</w:t>
      </w:r>
      <w:r>
        <w:rPr>
          <w:spacing w:val="-1"/>
          <w:sz w:val="24"/>
        </w:rPr>
        <w:t xml:space="preserve"> </w:t>
      </w:r>
      <w:r>
        <w:rPr>
          <w:sz w:val="24"/>
        </w:rPr>
        <w:t>practice</w:t>
      </w:r>
      <w:r>
        <w:rPr>
          <w:spacing w:val="-57"/>
          <w:sz w:val="24"/>
        </w:rPr>
        <w:t xml:space="preserve"> </w:t>
      </w:r>
      <w:r>
        <w:rPr>
          <w:sz w:val="24"/>
        </w:rPr>
        <w:t>is</w:t>
      </w:r>
      <w:r>
        <w:rPr>
          <w:spacing w:val="-1"/>
          <w:sz w:val="24"/>
        </w:rPr>
        <w:t xml:space="preserve"> </w:t>
      </w:r>
      <w:r>
        <w:rPr>
          <w:sz w:val="24"/>
        </w:rPr>
        <w:t>to use a point (.) as</w:t>
      </w:r>
      <w:r>
        <w:rPr>
          <w:spacing w:val="-1"/>
          <w:sz w:val="24"/>
        </w:rPr>
        <w:t xml:space="preserve"> </w:t>
      </w:r>
      <w:r>
        <w:rPr>
          <w:sz w:val="24"/>
        </w:rPr>
        <w:t>the decimal marker.</w:t>
      </w:r>
    </w:p>
    <w:p w:rsidR="00B842D9" w:rsidRDefault="00B842D9" w:rsidP="00B842D9">
      <w:pPr>
        <w:pStyle w:val="BodyText"/>
        <w:ind w:right="141"/>
        <w:jc w:val="both"/>
      </w:pPr>
    </w:p>
    <w:p w:rsidR="00C36D8C" w:rsidRDefault="00C36D8C">
      <w:pPr>
        <w:rPr>
          <w:sz w:val="24"/>
          <w:szCs w:val="24"/>
        </w:rPr>
      </w:pPr>
      <w:r>
        <w:br w:type="page"/>
      </w:r>
    </w:p>
    <w:p w:rsidR="00DC1426" w:rsidRDefault="00CB07E3">
      <w:pPr>
        <w:pStyle w:val="BodyText"/>
        <w:ind w:left="100" w:right="141"/>
        <w:jc w:val="both"/>
      </w:pPr>
      <w:r>
        <w:lastRenderedPageBreak/>
        <w:t>In this adopted standard, reference appears to certain International Standards for which Indian</w:t>
      </w:r>
      <w:r>
        <w:rPr>
          <w:spacing w:val="1"/>
        </w:rPr>
        <w:t xml:space="preserve"> </w:t>
      </w:r>
      <w:r>
        <w:t>Standards also exist. The corresponding Indian Standards, which are to be substituted in their</w:t>
      </w:r>
      <w:r>
        <w:rPr>
          <w:spacing w:val="1"/>
        </w:rPr>
        <w:t xml:space="preserve"> </w:t>
      </w:r>
      <w:r>
        <w:t>places, are listed below along with their degree of equ</w:t>
      </w:r>
      <w:r w:rsidR="002F30D7">
        <w:t xml:space="preserve">ivalence for editions indicated. </w:t>
      </w:r>
      <w:r w:rsidR="002F30D7" w:rsidRPr="002F30D7">
        <w:t>For dated references, only the edition cited applies. For undated references, the latest edition of the referenced document (in</w:t>
      </w:r>
      <w:r w:rsidR="00B7259F">
        <w:t>cluding any amendments) applies:</w:t>
      </w:r>
    </w:p>
    <w:p w:rsidR="005236D3" w:rsidRDefault="005236D3">
      <w:pPr>
        <w:pStyle w:val="BodyText"/>
        <w:ind w:left="100" w:right="141"/>
        <w:jc w:val="both"/>
      </w:pPr>
    </w:p>
    <w:tbl>
      <w:tblPr>
        <w:tblStyle w:val="TableGrid"/>
        <w:tblW w:w="9518" w:type="dxa"/>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6"/>
        <w:gridCol w:w="3684"/>
        <w:gridCol w:w="2678"/>
      </w:tblGrid>
      <w:tr w:rsidR="005236D3" w:rsidRPr="005236D3" w:rsidTr="00C36D8C">
        <w:trPr>
          <w:trHeight w:val="714"/>
        </w:trPr>
        <w:tc>
          <w:tcPr>
            <w:tcW w:w="3156" w:type="dxa"/>
          </w:tcPr>
          <w:p w:rsidR="005236D3" w:rsidRPr="00C36D8C" w:rsidRDefault="005236D3" w:rsidP="005236D3">
            <w:pPr>
              <w:pStyle w:val="TableParagraph"/>
              <w:spacing w:before="2" w:line="259" w:lineRule="auto"/>
              <w:ind w:left="71" w:right="34"/>
              <w:jc w:val="center"/>
              <w:rPr>
                <w:bCs/>
                <w:i/>
                <w:iCs/>
                <w:sz w:val="24"/>
              </w:rPr>
            </w:pPr>
            <w:proofErr w:type="gramStart"/>
            <w:r w:rsidRPr="00C36D8C">
              <w:rPr>
                <w:bCs/>
                <w:i/>
                <w:iCs/>
                <w:sz w:val="24"/>
              </w:rPr>
              <w:t xml:space="preserve">International </w:t>
            </w:r>
            <w:r w:rsidRPr="00C36D8C">
              <w:rPr>
                <w:bCs/>
                <w:i/>
                <w:iCs/>
                <w:spacing w:val="-57"/>
                <w:sz w:val="24"/>
              </w:rPr>
              <w:t xml:space="preserve"> </w:t>
            </w:r>
            <w:r w:rsidRPr="00C36D8C">
              <w:rPr>
                <w:bCs/>
                <w:i/>
                <w:iCs/>
                <w:sz w:val="24"/>
              </w:rPr>
              <w:t>Standard</w:t>
            </w:r>
            <w:proofErr w:type="gramEnd"/>
          </w:p>
          <w:p w:rsidR="005236D3" w:rsidRPr="00C36D8C" w:rsidRDefault="005236D3" w:rsidP="005236D3">
            <w:pPr>
              <w:pStyle w:val="BodyText"/>
              <w:ind w:right="141"/>
              <w:jc w:val="center"/>
              <w:rPr>
                <w:bCs/>
                <w:i/>
                <w:iCs/>
              </w:rPr>
            </w:pPr>
          </w:p>
        </w:tc>
        <w:tc>
          <w:tcPr>
            <w:tcW w:w="3684" w:type="dxa"/>
          </w:tcPr>
          <w:p w:rsidR="005236D3" w:rsidRPr="00C36D8C" w:rsidRDefault="000C1034" w:rsidP="005236D3">
            <w:pPr>
              <w:pStyle w:val="BodyText"/>
              <w:ind w:right="141"/>
              <w:jc w:val="center"/>
              <w:rPr>
                <w:bCs/>
                <w:i/>
                <w:iCs/>
              </w:rPr>
            </w:pPr>
            <w:r w:rsidRPr="00C36D8C">
              <w:rPr>
                <w:bCs/>
                <w:i/>
                <w:iCs/>
              </w:rPr>
              <w:t xml:space="preserve">  </w:t>
            </w:r>
            <w:r w:rsidR="005236D3" w:rsidRPr="00C36D8C">
              <w:rPr>
                <w:bCs/>
                <w:i/>
                <w:iCs/>
              </w:rPr>
              <w:t>Corresponding</w:t>
            </w:r>
            <w:r w:rsidR="005236D3" w:rsidRPr="00C36D8C">
              <w:rPr>
                <w:bCs/>
                <w:i/>
                <w:iCs/>
                <w:spacing w:val="-2"/>
              </w:rPr>
              <w:t xml:space="preserve"> </w:t>
            </w:r>
            <w:r w:rsidR="005236D3" w:rsidRPr="00C36D8C">
              <w:rPr>
                <w:bCs/>
                <w:i/>
                <w:iCs/>
              </w:rPr>
              <w:t>Indian</w:t>
            </w:r>
            <w:r w:rsidR="005236D3" w:rsidRPr="00C36D8C">
              <w:rPr>
                <w:bCs/>
                <w:i/>
                <w:iCs/>
                <w:spacing w:val="-1"/>
              </w:rPr>
              <w:t xml:space="preserve"> </w:t>
            </w:r>
            <w:r w:rsidR="005236D3" w:rsidRPr="00C36D8C">
              <w:rPr>
                <w:bCs/>
                <w:i/>
                <w:iCs/>
              </w:rPr>
              <w:t>Standard</w:t>
            </w:r>
          </w:p>
        </w:tc>
        <w:tc>
          <w:tcPr>
            <w:tcW w:w="2678" w:type="dxa"/>
          </w:tcPr>
          <w:p w:rsidR="005236D3" w:rsidRPr="00C36D8C" w:rsidRDefault="005236D3" w:rsidP="005236D3">
            <w:pPr>
              <w:pStyle w:val="BodyText"/>
              <w:ind w:right="141"/>
              <w:jc w:val="center"/>
              <w:rPr>
                <w:bCs/>
                <w:i/>
                <w:iCs/>
              </w:rPr>
            </w:pPr>
            <w:r w:rsidRPr="00C36D8C">
              <w:rPr>
                <w:bCs/>
                <w:i/>
                <w:iCs/>
              </w:rPr>
              <w:t>Degree</w:t>
            </w:r>
            <w:r w:rsidRPr="00C36D8C">
              <w:rPr>
                <w:bCs/>
                <w:i/>
                <w:iCs/>
                <w:spacing w:val="-2"/>
              </w:rPr>
              <w:t xml:space="preserve"> </w:t>
            </w:r>
            <w:r w:rsidRPr="00C36D8C">
              <w:rPr>
                <w:bCs/>
                <w:i/>
                <w:iCs/>
              </w:rPr>
              <w:t>of</w:t>
            </w:r>
            <w:r w:rsidRPr="00C36D8C">
              <w:rPr>
                <w:bCs/>
                <w:i/>
                <w:iCs/>
                <w:spacing w:val="-1"/>
              </w:rPr>
              <w:t xml:space="preserve"> </w:t>
            </w:r>
            <w:r w:rsidRPr="00C36D8C">
              <w:rPr>
                <w:bCs/>
                <w:i/>
                <w:iCs/>
              </w:rPr>
              <w:t>Equivalence</w:t>
            </w:r>
          </w:p>
        </w:tc>
      </w:tr>
      <w:tr w:rsidR="005236D3" w:rsidRPr="005236D3" w:rsidTr="00C36D8C">
        <w:trPr>
          <w:trHeight w:val="1371"/>
        </w:trPr>
        <w:tc>
          <w:tcPr>
            <w:tcW w:w="3156" w:type="dxa"/>
          </w:tcPr>
          <w:p w:rsidR="005236D3" w:rsidRPr="005236D3" w:rsidRDefault="005236D3" w:rsidP="005236D3">
            <w:pPr>
              <w:jc w:val="both"/>
              <w:rPr>
                <w:sz w:val="24"/>
                <w:szCs w:val="24"/>
              </w:rPr>
            </w:pPr>
            <w:r w:rsidRPr="005236D3">
              <w:rPr>
                <w:sz w:val="24"/>
                <w:szCs w:val="24"/>
              </w:rPr>
              <w:t>ISO 8601-1 Date</w:t>
            </w:r>
            <w:r>
              <w:rPr>
                <w:sz w:val="24"/>
                <w:szCs w:val="24"/>
              </w:rPr>
              <w:t xml:space="preserve"> and time — Representations for information interchange —</w:t>
            </w:r>
            <w:r w:rsidRPr="005236D3">
              <w:rPr>
                <w:sz w:val="24"/>
                <w:szCs w:val="24"/>
              </w:rPr>
              <w:t>Part 1 Basic rules</w:t>
            </w:r>
          </w:p>
        </w:tc>
        <w:tc>
          <w:tcPr>
            <w:tcW w:w="3684" w:type="dxa"/>
          </w:tcPr>
          <w:p w:rsidR="005236D3" w:rsidRPr="005236D3" w:rsidRDefault="005B2E3F" w:rsidP="005236D3">
            <w:pPr>
              <w:pStyle w:val="BodyText"/>
              <w:ind w:right="141"/>
              <w:jc w:val="both"/>
            </w:pPr>
            <w:r w:rsidRPr="005B2E3F">
              <w:t>IS/ISO 8601-</w:t>
            </w:r>
            <w:proofErr w:type="gramStart"/>
            <w:r w:rsidRPr="005B2E3F">
              <w:t>1 :</w:t>
            </w:r>
            <w:proofErr w:type="gramEnd"/>
            <w:r w:rsidRPr="005B2E3F">
              <w:t xml:space="preserve"> 2019</w:t>
            </w:r>
            <w:r>
              <w:t xml:space="preserve"> </w:t>
            </w:r>
            <w:r w:rsidRPr="005B2E3F">
              <w:t>Date and Time Representations For Information Interchange Part 1 Basic Rules</w:t>
            </w:r>
          </w:p>
        </w:tc>
        <w:tc>
          <w:tcPr>
            <w:tcW w:w="2678" w:type="dxa"/>
          </w:tcPr>
          <w:p w:rsidR="005236D3" w:rsidRDefault="005B2E3F" w:rsidP="005B2E3F">
            <w:pPr>
              <w:pStyle w:val="BodyText"/>
              <w:ind w:right="141"/>
              <w:jc w:val="center"/>
            </w:pPr>
            <w:r>
              <w:t>Identical with</w:t>
            </w:r>
          </w:p>
          <w:p w:rsidR="005B2E3F" w:rsidRPr="005236D3" w:rsidRDefault="005B2E3F" w:rsidP="005B2E3F">
            <w:pPr>
              <w:pStyle w:val="BodyText"/>
              <w:ind w:right="141"/>
              <w:jc w:val="center"/>
            </w:pPr>
            <w:r w:rsidRPr="005B2E3F">
              <w:t>ISO 8601-1 : 2019</w:t>
            </w:r>
          </w:p>
        </w:tc>
      </w:tr>
      <w:tr w:rsidR="005236D3" w:rsidRPr="005236D3" w:rsidTr="00C36D8C">
        <w:trPr>
          <w:trHeight w:val="694"/>
        </w:trPr>
        <w:tc>
          <w:tcPr>
            <w:tcW w:w="3156" w:type="dxa"/>
          </w:tcPr>
          <w:p w:rsidR="005236D3" w:rsidRPr="005236D3" w:rsidRDefault="005236D3" w:rsidP="005236D3">
            <w:pPr>
              <w:widowControl/>
              <w:shd w:val="clear" w:color="auto" w:fill="FFFFFF"/>
              <w:autoSpaceDE/>
              <w:autoSpaceDN/>
              <w:spacing w:before="100" w:beforeAutospacing="1" w:after="100" w:afterAutospacing="1"/>
              <w:jc w:val="both"/>
              <w:rPr>
                <w:color w:val="000000"/>
                <w:sz w:val="24"/>
                <w:szCs w:val="24"/>
              </w:rPr>
            </w:pPr>
            <w:r w:rsidRPr="005236D3">
              <w:rPr>
                <w:color w:val="000000"/>
                <w:sz w:val="24"/>
                <w:szCs w:val="24"/>
              </w:rPr>
              <w:t>ISO 80000-3</w:t>
            </w:r>
            <w:r w:rsidR="00C36D8C">
              <w:rPr>
                <w:color w:val="000000"/>
                <w:sz w:val="24"/>
                <w:szCs w:val="24"/>
              </w:rPr>
              <w:t xml:space="preserve"> </w:t>
            </w:r>
            <w:r w:rsidRPr="005236D3">
              <w:rPr>
                <w:rStyle w:val="sts-std-title"/>
                <w:color w:val="000000"/>
                <w:sz w:val="24"/>
                <w:szCs w:val="24"/>
              </w:rPr>
              <w:t>Quantities and units — Part 3: Space and time</w:t>
            </w:r>
          </w:p>
        </w:tc>
        <w:tc>
          <w:tcPr>
            <w:tcW w:w="3684" w:type="dxa"/>
          </w:tcPr>
          <w:p w:rsidR="005236D3" w:rsidRPr="005236D3" w:rsidRDefault="00142E0B" w:rsidP="00142E0B">
            <w:pPr>
              <w:pStyle w:val="BodyText"/>
              <w:ind w:right="141"/>
              <w:jc w:val="both"/>
            </w:pPr>
            <w:r>
              <w:t xml:space="preserve">IS/ISO 80000-3 : 2019 </w:t>
            </w:r>
            <w:r w:rsidRPr="00142E0B">
              <w:t>Quantities and units Part 3: Space and Time</w:t>
            </w:r>
          </w:p>
        </w:tc>
        <w:tc>
          <w:tcPr>
            <w:tcW w:w="2678" w:type="dxa"/>
          </w:tcPr>
          <w:p w:rsidR="00E96713" w:rsidRDefault="00E96713" w:rsidP="00E96713">
            <w:pPr>
              <w:pStyle w:val="BodyText"/>
              <w:ind w:right="141"/>
              <w:jc w:val="center"/>
            </w:pPr>
            <w:r>
              <w:t>Identical with</w:t>
            </w:r>
          </w:p>
          <w:p w:rsidR="005236D3" w:rsidRPr="005236D3" w:rsidRDefault="00E96713" w:rsidP="00E96713">
            <w:pPr>
              <w:pStyle w:val="BodyText"/>
              <w:ind w:right="141"/>
              <w:jc w:val="center"/>
            </w:pPr>
            <w:r w:rsidRPr="00E96713">
              <w:t>ISO 80000-3 : 2019</w:t>
            </w:r>
          </w:p>
        </w:tc>
      </w:tr>
    </w:tbl>
    <w:p w:rsidR="00E44A9A" w:rsidRDefault="00E44A9A" w:rsidP="00E44A9A">
      <w:pPr>
        <w:pStyle w:val="BodyText"/>
        <w:spacing w:before="4"/>
        <w:rPr>
          <w:sz w:val="20"/>
        </w:rPr>
      </w:pPr>
    </w:p>
    <w:p w:rsidR="00E44A9A" w:rsidRDefault="00E44A9A" w:rsidP="00E44A9A">
      <w:pPr>
        <w:pStyle w:val="BodyText"/>
        <w:spacing w:before="90"/>
        <w:ind w:left="100" w:right="141"/>
        <w:jc w:val="both"/>
      </w:pPr>
      <w:r>
        <w:t>The</w:t>
      </w:r>
      <w:r>
        <w:rPr>
          <w:spacing w:val="1"/>
        </w:rPr>
        <w:t xml:space="preserve"> </w:t>
      </w:r>
      <w:r>
        <w:t>technical</w:t>
      </w:r>
      <w:r>
        <w:rPr>
          <w:spacing w:val="1"/>
        </w:rPr>
        <w:t xml:space="preserve"> </w:t>
      </w:r>
      <w:r>
        <w:t>committee</w:t>
      </w:r>
      <w:r>
        <w:rPr>
          <w:spacing w:val="1"/>
        </w:rPr>
        <w:t xml:space="preserve"> </w:t>
      </w:r>
      <w:r>
        <w:t>has</w:t>
      </w:r>
      <w:r>
        <w:rPr>
          <w:spacing w:val="1"/>
        </w:rPr>
        <w:t xml:space="preserve"> </w:t>
      </w:r>
      <w:r>
        <w:t>reviewed</w:t>
      </w:r>
      <w:r>
        <w:rPr>
          <w:spacing w:val="1"/>
        </w:rPr>
        <w:t xml:space="preserve"> </w:t>
      </w:r>
      <w:r>
        <w:t>the</w:t>
      </w:r>
      <w:r>
        <w:rPr>
          <w:spacing w:val="1"/>
        </w:rPr>
        <w:t xml:space="preserve"> </w:t>
      </w:r>
      <w:r>
        <w:t>provisions</w:t>
      </w:r>
      <w:r>
        <w:rPr>
          <w:spacing w:val="1"/>
        </w:rPr>
        <w:t xml:space="preserve"> </w:t>
      </w:r>
      <w:r>
        <w:t>of</w:t>
      </w:r>
      <w:r>
        <w:rPr>
          <w:spacing w:val="1"/>
        </w:rPr>
        <w:t xml:space="preserve"> </w:t>
      </w:r>
      <w:r>
        <w:t>following</w:t>
      </w:r>
      <w:r>
        <w:rPr>
          <w:spacing w:val="1"/>
        </w:rPr>
        <w:t xml:space="preserve"> </w:t>
      </w:r>
      <w:r>
        <w:t>International</w:t>
      </w:r>
      <w:r>
        <w:rPr>
          <w:spacing w:val="1"/>
        </w:rPr>
        <w:t xml:space="preserve"> </w:t>
      </w:r>
      <w:r>
        <w:t>Standards</w:t>
      </w:r>
      <w:r>
        <w:rPr>
          <w:spacing w:val="1"/>
        </w:rPr>
        <w:t xml:space="preserve"> </w:t>
      </w:r>
      <w:r>
        <w:t>referred in this adopted standard and has decided that they are acceptable for use in conjunction</w:t>
      </w:r>
      <w:r>
        <w:rPr>
          <w:spacing w:val="1"/>
        </w:rPr>
        <w:t xml:space="preserve"> </w:t>
      </w:r>
      <w:r>
        <w:t>with this standard.</w:t>
      </w:r>
      <w:r w:rsidR="00B7259F" w:rsidRPr="00B7259F">
        <w:t xml:space="preserve"> For dated references, only the edition cited applies. For undated references, the latest edition of the referenced document (including any amendments) applies:</w:t>
      </w:r>
    </w:p>
    <w:p w:rsidR="00E44A9A" w:rsidRDefault="00E44A9A" w:rsidP="00E44A9A">
      <w:pPr>
        <w:pStyle w:val="BodyText"/>
        <w:spacing w:before="5"/>
        <w:rPr>
          <w:sz w:val="22"/>
        </w:rPr>
      </w:pPr>
    </w:p>
    <w:tbl>
      <w:tblPr>
        <w:tblW w:w="9791" w:type="dxa"/>
        <w:tblInd w:w="130" w:type="dxa"/>
        <w:tblLayout w:type="fixed"/>
        <w:tblCellMar>
          <w:left w:w="0" w:type="dxa"/>
          <w:right w:w="0" w:type="dxa"/>
        </w:tblCellMar>
        <w:tblLook w:val="01E0" w:firstRow="1" w:lastRow="1" w:firstColumn="1" w:lastColumn="1" w:noHBand="0" w:noVBand="0"/>
      </w:tblPr>
      <w:tblGrid>
        <w:gridCol w:w="3131"/>
        <w:gridCol w:w="6660"/>
      </w:tblGrid>
      <w:tr w:rsidR="00E44A9A" w:rsidRPr="00D73D1D" w:rsidTr="00B71577">
        <w:trPr>
          <w:trHeight w:val="356"/>
        </w:trPr>
        <w:tc>
          <w:tcPr>
            <w:tcW w:w="3131" w:type="dxa"/>
            <w:vAlign w:val="center"/>
          </w:tcPr>
          <w:p w:rsidR="00E44A9A" w:rsidRPr="00C36D8C" w:rsidRDefault="00E44A9A" w:rsidP="00C9072C">
            <w:pPr>
              <w:pStyle w:val="TableParagraph"/>
              <w:spacing w:before="8"/>
              <w:ind w:left="90"/>
              <w:jc w:val="center"/>
              <w:rPr>
                <w:bCs/>
                <w:i/>
                <w:iCs/>
                <w:sz w:val="24"/>
                <w:szCs w:val="24"/>
              </w:rPr>
            </w:pPr>
            <w:r w:rsidRPr="00C36D8C">
              <w:rPr>
                <w:bCs/>
                <w:i/>
                <w:iCs/>
                <w:sz w:val="24"/>
                <w:szCs w:val="24"/>
              </w:rPr>
              <w:t>International Standard</w:t>
            </w:r>
          </w:p>
        </w:tc>
        <w:tc>
          <w:tcPr>
            <w:tcW w:w="6660" w:type="dxa"/>
            <w:vAlign w:val="center"/>
          </w:tcPr>
          <w:p w:rsidR="00E44A9A" w:rsidRPr="00C36D8C" w:rsidRDefault="00E44A9A" w:rsidP="00C9072C">
            <w:pPr>
              <w:pStyle w:val="TableParagraph"/>
              <w:spacing w:before="8"/>
              <w:ind w:left="3030" w:right="3079"/>
              <w:jc w:val="center"/>
              <w:rPr>
                <w:bCs/>
                <w:i/>
                <w:iCs/>
                <w:sz w:val="24"/>
                <w:szCs w:val="24"/>
              </w:rPr>
            </w:pPr>
            <w:r w:rsidRPr="00C36D8C">
              <w:rPr>
                <w:bCs/>
                <w:i/>
                <w:iCs/>
                <w:sz w:val="24"/>
                <w:szCs w:val="24"/>
              </w:rPr>
              <w:t>Title</w:t>
            </w:r>
          </w:p>
          <w:p w:rsidR="00C9072C" w:rsidRPr="00C36D8C" w:rsidRDefault="00C9072C" w:rsidP="00C9072C">
            <w:pPr>
              <w:pStyle w:val="TableParagraph"/>
              <w:spacing w:before="8"/>
              <w:ind w:left="3030" w:right="3079"/>
              <w:jc w:val="center"/>
              <w:rPr>
                <w:bCs/>
                <w:i/>
                <w:iCs/>
                <w:sz w:val="24"/>
                <w:szCs w:val="24"/>
              </w:rPr>
            </w:pPr>
          </w:p>
        </w:tc>
      </w:tr>
      <w:tr w:rsidR="005236D3" w:rsidRPr="00D73D1D" w:rsidTr="00B71577">
        <w:trPr>
          <w:trHeight w:val="529"/>
        </w:trPr>
        <w:tc>
          <w:tcPr>
            <w:tcW w:w="3131" w:type="dxa"/>
          </w:tcPr>
          <w:p w:rsidR="005236D3" w:rsidRPr="00D73D1D" w:rsidRDefault="00C9072C" w:rsidP="00D73D1D">
            <w:pPr>
              <w:pStyle w:val="TableParagraph"/>
              <w:spacing w:line="275" w:lineRule="exact"/>
              <w:ind w:left="89"/>
              <w:rPr>
                <w:sz w:val="24"/>
                <w:szCs w:val="24"/>
              </w:rPr>
            </w:pPr>
            <w:r w:rsidRPr="00D73D1D">
              <w:rPr>
                <w:sz w:val="24"/>
                <w:szCs w:val="24"/>
              </w:rPr>
              <w:t>ISO/IEC 11404:2007</w:t>
            </w:r>
          </w:p>
        </w:tc>
        <w:tc>
          <w:tcPr>
            <w:tcW w:w="6660" w:type="dxa"/>
          </w:tcPr>
          <w:p w:rsidR="005236D3" w:rsidRPr="00D73D1D" w:rsidRDefault="00C9072C" w:rsidP="00514630">
            <w:pPr>
              <w:pStyle w:val="TableParagraph"/>
              <w:spacing w:line="275" w:lineRule="exact"/>
              <w:ind w:left="94"/>
              <w:rPr>
                <w:sz w:val="24"/>
                <w:szCs w:val="24"/>
              </w:rPr>
            </w:pPr>
            <w:r w:rsidRPr="00D73D1D">
              <w:rPr>
                <w:sz w:val="24"/>
                <w:szCs w:val="24"/>
              </w:rPr>
              <w:t>Information technology — General-Purpose Datatypes (GPD)</w:t>
            </w:r>
          </w:p>
        </w:tc>
      </w:tr>
      <w:tr w:rsidR="005236D3" w:rsidRPr="00D73D1D" w:rsidTr="00B71577">
        <w:trPr>
          <w:trHeight w:val="529"/>
        </w:trPr>
        <w:tc>
          <w:tcPr>
            <w:tcW w:w="3131" w:type="dxa"/>
          </w:tcPr>
          <w:p w:rsidR="005236D3" w:rsidRPr="00D73D1D" w:rsidRDefault="00215C3A" w:rsidP="00D73D1D">
            <w:pPr>
              <w:pStyle w:val="TableParagraph"/>
              <w:spacing w:line="275" w:lineRule="exact"/>
              <w:ind w:left="89"/>
              <w:rPr>
                <w:sz w:val="24"/>
                <w:szCs w:val="24"/>
              </w:rPr>
            </w:pPr>
            <w:r w:rsidRPr="00D73D1D">
              <w:rPr>
                <w:sz w:val="24"/>
                <w:szCs w:val="24"/>
              </w:rPr>
              <w:t>ISO 19108:2002</w:t>
            </w:r>
          </w:p>
        </w:tc>
        <w:tc>
          <w:tcPr>
            <w:tcW w:w="6660" w:type="dxa"/>
          </w:tcPr>
          <w:p w:rsidR="005236D3" w:rsidRPr="00D73D1D" w:rsidRDefault="00370C83" w:rsidP="00514630">
            <w:pPr>
              <w:pStyle w:val="TableParagraph"/>
              <w:spacing w:line="275" w:lineRule="exact"/>
              <w:ind w:left="94"/>
              <w:rPr>
                <w:sz w:val="24"/>
                <w:szCs w:val="24"/>
              </w:rPr>
            </w:pPr>
            <w:r w:rsidRPr="00D73D1D">
              <w:rPr>
                <w:sz w:val="24"/>
                <w:szCs w:val="24"/>
              </w:rPr>
              <w:t>Geographic information — Temporal schema</w:t>
            </w:r>
          </w:p>
        </w:tc>
      </w:tr>
      <w:tr w:rsidR="005236D3" w:rsidRPr="00D73D1D" w:rsidTr="00B71577">
        <w:trPr>
          <w:trHeight w:val="529"/>
        </w:trPr>
        <w:tc>
          <w:tcPr>
            <w:tcW w:w="3131" w:type="dxa"/>
          </w:tcPr>
          <w:p w:rsidR="005236D3" w:rsidRPr="00D73D1D" w:rsidRDefault="00215C3A" w:rsidP="00D73D1D">
            <w:pPr>
              <w:pStyle w:val="TableParagraph"/>
              <w:spacing w:line="275" w:lineRule="exact"/>
              <w:ind w:left="89"/>
              <w:rPr>
                <w:sz w:val="24"/>
                <w:szCs w:val="24"/>
              </w:rPr>
            </w:pPr>
            <w:r w:rsidRPr="00D73D1D">
              <w:rPr>
                <w:sz w:val="24"/>
                <w:szCs w:val="24"/>
              </w:rPr>
              <w:t>ISO 19123:2005</w:t>
            </w:r>
          </w:p>
        </w:tc>
        <w:tc>
          <w:tcPr>
            <w:tcW w:w="6660" w:type="dxa"/>
          </w:tcPr>
          <w:p w:rsidR="005236D3" w:rsidRPr="00D73D1D" w:rsidRDefault="00215C3A" w:rsidP="00215C3A">
            <w:pPr>
              <w:pStyle w:val="TableParagraph"/>
              <w:spacing w:line="275" w:lineRule="exact"/>
              <w:ind w:left="0"/>
              <w:rPr>
                <w:sz w:val="24"/>
                <w:szCs w:val="24"/>
              </w:rPr>
            </w:pPr>
            <w:r w:rsidRPr="00D73D1D">
              <w:rPr>
                <w:sz w:val="24"/>
                <w:szCs w:val="24"/>
              </w:rPr>
              <w:t xml:space="preserve"> </w:t>
            </w:r>
            <w:r w:rsidR="00370C83" w:rsidRPr="00D73D1D">
              <w:rPr>
                <w:sz w:val="24"/>
                <w:szCs w:val="24"/>
              </w:rPr>
              <w:t>Geographic information — Schema for coverage geometry and functions</w:t>
            </w:r>
          </w:p>
        </w:tc>
      </w:tr>
      <w:tr w:rsidR="00370C83" w:rsidRPr="00D73D1D" w:rsidTr="00B71577">
        <w:trPr>
          <w:trHeight w:val="529"/>
        </w:trPr>
        <w:tc>
          <w:tcPr>
            <w:tcW w:w="3131" w:type="dxa"/>
          </w:tcPr>
          <w:p w:rsidR="00370C83" w:rsidRPr="00D73D1D" w:rsidRDefault="00215C3A" w:rsidP="00D73D1D">
            <w:pPr>
              <w:pStyle w:val="TableParagraph"/>
              <w:spacing w:line="275" w:lineRule="exact"/>
              <w:ind w:left="89"/>
              <w:rPr>
                <w:sz w:val="24"/>
                <w:szCs w:val="24"/>
              </w:rPr>
            </w:pPr>
            <w:r w:rsidRPr="00D73D1D">
              <w:rPr>
                <w:sz w:val="24"/>
                <w:szCs w:val="24"/>
              </w:rPr>
              <w:t>ISO/IEC 19757-3</w:t>
            </w:r>
          </w:p>
        </w:tc>
        <w:tc>
          <w:tcPr>
            <w:tcW w:w="6660" w:type="dxa"/>
          </w:tcPr>
          <w:p w:rsidR="00370C83" w:rsidRPr="00D73D1D" w:rsidRDefault="00370C83" w:rsidP="00514630">
            <w:pPr>
              <w:pStyle w:val="TableParagraph"/>
              <w:spacing w:line="275" w:lineRule="exact"/>
              <w:ind w:left="94"/>
              <w:rPr>
                <w:sz w:val="24"/>
                <w:szCs w:val="24"/>
              </w:rPr>
            </w:pPr>
            <w:r w:rsidRPr="00D73D1D">
              <w:rPr>
                <w:sz w:val="24"/>
                <w:szCs w:val="24"/>
              </w:rPr>
              <w:t xml:space="preserve">Information technology — Document Schema Definition Languages </w:t>
            </w:r>
            <w:bookmarkStart w:id="0" w:name="_GoBack"/>
            <w:bookmarkEnd w:id="0"/>
            <w:r w:rsidRPr="00D73D1D">
              <w:rPr>
                <w:sz w:val="24"/>
                <w:szCs w:val="24"/>
              </w:rPr>
              <w:t>(DSDL) — Part 3: Rule-based validation — Schematron</w:t>
            </w:r>
          </w:p>
        </w:tc>
      </w:tr>
      <w:tr w:rsidR="00370C83" w:rsidRPr="00D73D1D" w:rsidTr="00B71577">
        <w:trPr>
          <w:trHeight w:val="529"/>
        </w:trPr>
        <w:tc>
          <w:tcPr>
            <w:tcW w:w="3131" w:type="dxa"/>
          </w:tcPr>
          <w:p w:rsidR="00370C83" w:rsidRPr="00D73D1D" w:rsidRDefault="00215C3A" w:rsidP="00D73D1D">
            <w:pPr>
              <w:pStyle w:val="TableParagraph"/>
              <w:spacing w:line="275" w:lineRule="exact"/>
              <w:ind w:left="89"/>
              <w:rPr>
                <w:sz w:val="24"/>
                <w:szCs w:val="24"/>
              </w:rPr>
            </w:pPr>
            <w:r w:rsidRPr="00D73D1D">
              <w:rPr>
                <w:color w:val="000000"/>
                <w:sz w:val="24"/>
                <w:szCs w:val="24"/>
              </w:rPr>
              <w:t>IETF RFC 2396</w:t>
            </w:r>
          </w:p>
        </w:tc>
        <w:tc>
          <w:tcPr>
            <w:tcW w:w="6660" w:type="dxa"/>
          </w:tcPr>
          <w:p w:rsidR="00370C83" w:rsidRPr="00D73D1D" w:rsidRDefault="00215C3A" w:rsidP="00514630">
            <w:pPr>
              <w:pStyle w:val="TableParagraph"/>
              <w:spacing w:line="275" w:lineRule="exact"/>
              <w:ind w:left="94"/>
              <w:rPr>
                <w:sz w:val="24"/>
                <w:szCs w:val="24"/>
              </w:rPr>
            </w:pPr>
            <w:r w:rsidRPr="00D73D1D">
              <w:rPr>
                <w:rStyle w:val="sts-std-title"/>
                <w:color w:val="000000"/>
                <w:sz w:val="24"/>
                <w:szCs w:val="24"/>
              </w:rPr>
              <w:t>Uniform Resource Identifiers (URI): Generic Syntax (August 1998)</w:t>
            </w:r>
          </w:p>
        </w:tc>
      </w:tr>
      <w:tr w:rsidR="00370C83" w:rsidRPr="00D73D1D" w:rsidTr="00B71577">
        <w:trPr>
          <w:trHeight w:val="529"/>
        </w:trPr>
        <w:tc>
          <w:tcPr>
            <w:tcW w:w="3131" w:type="dxa"/>
          </w:tcPr>
          <w:p w:rsidR="00370C83" w:rsidRPr="00D73D1D" w:rsidRDefault="00215C3A" w:rsidP="00D73D1D">
            <w:pPr>
              <w:pStyle w:val="TableParagraph"/>
              <w:spacing w:line="275" w:lineRule="exact"/>
              <w:ind w:left="89"/>
              <w:rPr>
                <w:sz w:val="24"/>
                <w:szCs w:val="24"/>
              </w:rPr>
            </w:pPr>
            <w:r w:rsidRPr="00D73D1D">
              <w:rPr>
                <w:color w:val="000000"/>
                <w:sz w:val="24"/>
                <w:szCs w:val="24"/>
              </w:rPr>
              <w:t>W3C XLink</w:t>
            </w:r>
          </w:p>
        </w:tc>
        <w:tc>
          <w:tcPr>
            <w:tcW w:w="6660" w:type="dxa"/>
          </w:tcPr>
          <w:p w:rsidR="00370C83" w:rsidRPr="00D73D1D" w:rsidRDefault="00215C3A" w:rsidP="00514630">
            <w:pPr>
              <w:pStyle w:val="TableParagraph"/>
              <w:spacing w:line="275" w:lineRule="exact"/>
              <w:ind w:left="94"/>
              <w:rPr>
                <w:sz w:val="24"/>
                <w:szCs w:val="24"/>
              </w:rPr>
            </w:pPr>
            <w:r w:rsidRPr="00D73D1D">
              <w:rPr>
                <w:color w:val="000000"/>
                <w:sz w:val="24"/>
                <w:szCs w:val="24"/>
              </w:rPr>
              <w:t>XML Linking Language (XLink) Version 1.1, W3C Recommendation (6 May 2010)</w:t>
            </w:r>
          </w:p>
        </w:tc>
      </w:tr>
      <w:tr w:rsidR="00370C83" w:rsidRPr="00D73D1D" w:rsidTr="00B71577">
        <w:trPr>
          <w:trHeight w:val="529"/>
        </w:trPr>
        <w:tc>
          <w:tcPr>
            <w:tcW w:w="3131" w:type="dxa"/>
          </w:tcPr>
          <w:p w:rsidR="00370C83" w:rsidRPr="00D73D1D" w:rsidRDefault="00215C3A" w:rsidP="00D73D1D">
            <w:pPr>
              <w:pStyle w:val="TableParagraph"/>
              <w:spacing w:line="275" w:lineRule="exact"/>
              <w:ind w:left="89"/>
              <w:rPr>
                <w:sz w:val="24"/>
                <w:szCs w:val="24"/>
              </w:rPr>
            </w:pPr>
            <w:r w:rsidRPr="00D73D1D">
              <w:rPr>
                <w:color w:val="000000"/>
                <w:sz w:val="24"/>
                <w:szCs w:val="24"/>
              </w:rPr>
              <w:t>W3C XML</w:t>
            </w:r>
          </w:p>
        </w:tc>
        <w:tc>
          <w:tcPr>
            <w:tcW w:w="6660" w:type="dxa"/>
          </w:tcPr>
          <w:p w:rsidR="00370C83" w:rsidRPr="00D73D1D" w:rsidRDefault="00215C3A" w:rsidP="00514630">
            <w:pPr>
              <w:pStyle w:val="TableParagraph"/>
              <w:spacing w:line="275" w:lineRule="exact"/>
              <w:ind w:left="94"/>
              <w:rPr>
                <w:sz w:val="24"/>
                <w:szCs w:val="24"/>
              </w:rPr>
            </w:pPr>
            <w:r w:rsidRPr="00D73D1D">
              <w:rPr>
                <w:color w:val="000000"/>
                <w:sz w:val="24"/>
                <w:szCs w:val="24"/>
              </w:rPr>
              <w:t>Extensible Markup Language (XML) 1.0 (Fi</w:t>
            </w:r>
            <w:r w:rsidR="001E3765">
              <w:rPr>
                <w:color w:val="000000"/>
                <w:sz w:val="24"/>
                <w:szCs w:val="24"/>
              </w:rPr>
              <w:t>f</w:t>
            </w:r>
            <w:r w:rsidRPr="00D73D1D">
              <w:rPr>
                <w:color w:val="000000"/>
                <w:sz w:val="24"/>
                <w:szCs w:val="24"/>
              </w:rPr>
              <w:t>th Edition), W3C Recommendation (26 November 2008)</w:t>
            </w:r>
          </w:p>
        </w:tc>
      </w:tr>
      <w:tr w:rsidR="00370C83" w:rsidRPr="00D73D1D" w:rsidTr="00B71577">
        <w:trPr>
          <w:trHeight w:val="529"/>
        </w:trPr>
        <w:tc>
          <w:tcPr>
            <w:tcW w:w="3131" w:type="dxa"/>
          </w:tcPr>
          <w:p w:rsidR="00370C83" w:rsidRPr="00D73D1D" w:rsidRDefault="00215C3A" w:rsidP="00D73D1D">
            <w:pPr>
              <w:pStyle w:val="TableParagraph"/>
              <w:spacing w:line="275" w:lineRule="exact"/>
              <w:ind w:left="89"/>
              <w:rPr>
                <w:sz w:val="24"/>
                <w:szCs w:val="24"/>
              </w:rPr>
            </w:pPr>
            <w:r w:rsidRPr="00D73D1D">
              <w:rPr>
                <w:color w:val="000000"/>
                <w:sz w:val="24"/>
                <w:szCs w:val="24"/>
              </w:rPr>
              <w:t>W3C XML Namespaces</w:t>
            </w:r>
          </w:p>
        </w:tc>
        <w:tc>
          <w:tcPr>
            <w:tcW w:w="6660" w:type="dxa"/>
          </w:tcPr>
          <w:p w:rsidR="00370C83" w:rsidRPr="00D73D1D" w:rsidRDefault="00215C3A" w:rsidP="00514630">
            <w:pPr>
              <w:pStyle w:val="TableParagraph"/>
              <w:spacing w:line="275" w:lineRule="exact"/>
              <w:ind w:left="94"/>
              <w:rPr>
                <w:sz w:val="24"/>
                <w:szCs w:val="24"/>
              </w:rPr>
            </w:pPr>
            <w:r w:rsidRPr="00D73D1D">
              <w:rPr>
                <w:color w:val="000000"/>
                <w:sz w:val="24"/>
                <w:szCs w:val="24"/>
              </w:rPr>
              <w:t>Namespaces in XML 1.0 (Third Edition), W3C Recommendation (8 December 2009)</w:t>
            </w:r>
          </w:p>
        </w:tc>
      </w:tr>
      <w:tr w:rsidR="00215C3A" w:rsidRPr="00D73D1D" w:rsidTr="00B71577">
        <w:trPr>
          <w:trHeight w:val="529"/>
        </w:trPr>
        <w:tc>
          <w:tcPr>
            <w:tcW w:w="3131" w:type="dxa"/>
          </w:tcPr>
          <w:p w:rsidR="00215C3A" w:rsidRPr="00D73D1D" w:rsidRDefault="00215C3A" w:rsidP="00D73D1D">
            <w:pPr>
              <w:pStyle w:val="TableParagraph"/>
              <w:spacing w:line="275" w:lineRule="exact"/>
              <w:ind w:left="89"/>
              <w:rPr>
                <w:color w:val="000000"/>
                <w:sz w:val="24"/>
                <w:szCs w:val="24"/>
              </w:rPr>
            </w:pPr>
            <w:r w:rsidRPr="00D73D1D">
              <w:rPr>
                <w:color w:val="000000"/>
                <w:sz w:val="24"/>
                <w:szCs w:val="24"/>
              </w:rPr>
              <w:t xml:space="preserve">W3C XML Schema </w:t>
            </w:r>
          </w:p>
          <w:p w:rsidR="00215C3A" w:rsidRPr="00D73D1D" w:rsidRDefault="00215C3A" w:rsidP="00D73D1D">
            <w:pPr>
              <w:pStyle w:val="TableParagraph"/>
              <w:spacing w:line="275" w:lineRule="exact"/>
              <w:ind w:left="89"/>
              <w:rPr>
                <w:sz w:val="24"/>
                <w:szCs w:val="24"/>
              </w:rPr>
            </w:pPr>
            <w:r w:rsidRPr="00D73D1D">
              <w:rPr>
                <w:color w:val="000000"/>
                <w:sz w:val="24"/>
                <w:szCs w:val="24"/>
              </w:rPr>
              <w:t>Part 1</w:t>
            </w:r>
          </w:p>
        </w:tc>
        <w:tc>
          <w:tcPr>
            <w:tcW w:w="6660" w:type="dxa"/>
          </w:tcPr>
          <w:p w:rsidR="00215C3A" w:rsidRPr="00D73D1D" w:rsidRDefault="00215C3A" w:rsidP="00514630">
            <w:pPr>
              <w:pStyle w:val="TableParagraph"/>
              <w:spacing w:line="275" w:lineRule="exact"/>
              <w:ind w:left="94"/>
              <w:rPr>
                <w:color w:val="000000"/>
                <w:sz w:val="24"/>
                <w:szCs w:val="24"/>
              </w:rPr>
            </w:pPr>
            <w:r w:rsidRPr="00D73D1D">
              <w:rPr>
                <w:color w:val="000000"/>
                <w:sz w:val="24"/>
                <w:szCs w:val="24"/>
              </w:rPr>
              <w:t>XML Schema Part 1: Structures, W3C Recommendation (28 October 2004)</w:t>
            </w:r>
          </w:p>
        </w:tc>
      </w:tr>
      <w:tr w:rsidR="00215C3A" w:rsidRPr="00D73D1D" w:rsidTr="00B71577">
        <w:trPr>
          <w:trHeight w:val="529"/>
        </w:trPr>
        <w:tc>
          <w:tcPr>
            <w:tcW w:w="3131" w:type="dxa"/>
          </w:tcPr>
          <w:p w:rsidR="00215C3A" w:rsidRPr="00D73D1D" w:rsidRDefault="00215C3A" w:rsidP="00D73D1D">
            <w:pPr>
              <w:pStyle w:val="TableParagraph"/>
              <w:spacing w:line="275" w:lineRule="exact"/>
              <w:ind w:left="89"/>
              <w:rPr>
                <w:color w:val="000000"/>
                <w:sz w:val="24"/>
                <w:szCs w:val="24"/>
              </w:rPr>
            </w:pPr>
            <w:r w:rsidRPr="00D73D1D">
              <w:rPr>
                <w:color w:val="000000"/>
                <w:sz w:val="24"/>
                <w:szCs w:val="24"/>
              </w:rPr>
              <w:t xml:space="preserve">W3C XML Schema </w:t>
            </w:r>
          </w:p>
          <w:p w:rsidR="00215C3A" w:rsidRPr="00D73D1D" w:rsidRDefault="00215C3A" w:rsidP="00D73D1D">
            <w:pPr>
              <w:pStyle w:val="TableParagraph"/>
              <w:spacing w:line="275" w:lineRule="exact"/>
              <w:ind w:left="89"/>
              <w:rPr>
                <w:sz w:val="24"/>
                <w:szCs w:val="24"/>
              </w:rPr>
            </w:pPr>
            <w:r w:rsidRPr="00D73D1D">
              <w:rPr>
                <w:color w:val="000000"/>
                <w:sz w:val="24"/>
                <w:szCs w:val="24"/>
              </w:rPr>
              <w:t>Part 2</w:t>
            </w:r>
          </w:p>
        </w:tc>
        <w:tc>
          <w:tcPr>
            <w:tcW w:w="6660" w:type="dxa"/>
          </w:tcPr>
          <w:p w:rsidR="00215C3A" w:rsidRPr="00D73D1D" w:rsidRDefault="00215C3A" w:rsidP="00514630">
            <w:pPr>
              <w:pStyle w:val="TableParagraph"/>
              <w:spacing w:line="275" w:lineRule="exact"/>
              <w:ind w:left="94"/>
              <w:rPr>
                <w:color w:val="000000"/>
                <w:sz w:val="24"/>
                <w:szCs w:val="24"/>
              </w:rPr>
            </w:pPr>
            <w:r w:rsidRPr="00D73D1D">
              <w:rPr>
                <w:color w:val="000000"/>
                <w:sz w:val="24"/>
                <w:szCs w:val="24"/>
              </w:rPr>
              <w:t>XML Schema Part 2: Datatypes, W3C Recommendation (28 October 2004)</w:t>
            </w:r>
          </w:p>
        </w:tc>
      </w:tr>
    </w:tbl>
    <w:p w:rsidR="00B842D9" w:rsidRDefault="00B842D9" w:rsidP="00B842D9">
      <w:pPr>
        <w:pStyle w:val="BodyText"/>
        <w:spacing w:before="1"/>
        <w:ind w:right="140"/>
        <w:jc w:val="both"/>
      </w:pPr>
    </w:p>
    <w:p w:rsidR="00B842D9" w:rsidRDefault="00B842D9" w:rsidP="00B842D9">
      <w:pPr>
        <w:pStyle w:val="BodyText"/>
        <w:spacing w:before="1"/>
        <w:ind w:right="140"/>
        <w:jc w:val="both"/>
      </w:pPr>
    </w:p>
    <w:p w:rsidR="00DC1426" w:rsidRDefault="00E44A9A" w:rsidP="00C36D8C">
      <w:pPr>
        <w:pStyle w:val="BodyText"/>
        <w:spacing w:before="1"/>
        <w:ind w:right="140"/>
        <w:jc w:val="both"/>
        <w:rPr>
          <w:sz w:val="26"/>
        </w:rPr>
      </w:pPr>
      <w:r>
        <w:t>For the purpose of deciding whether a particular requirement of this standard is complied with,</w:t>
      </w:r>
      <w:r>
        <w:rPr>
          <w:spacing w:val="1"/>
        </w:rPr>
        <w:t xml:space="preserve"> </w:t>
      </w:r>
      <w:r>
        <w:t>the</w:t>
      </w:r>
      <w:r>
        <w:rPr>
          <w:spacing w:val="1"/>
        </w:rPr>
        <w:t xml:space="preserve"> </w:t>
      </w:r>
      <w:r>
        <w:t>final</w:t>
      </w:r>
      <w:r>
        <w:rPr>
          <w:spacing w:val="1"/>
        </w:rPr>
        <w:t xml:space="preserve"> </w:t>
      </w:r>
      <w:r>
        <w:t>value,</w:t>
      </w:r>
      <w:r>
        <w:rPr>
          <w:spacing w:val="1"/>
        </w:rPr>
        <w:t xml:space="preserve"> </w:t>
      </w:r>
      <w:r>
        <w:t>observed</w:t>
      </w:r>
      <w:r>
        <w:rPr>
          <w:spacing w:val="1"/>
        </w:rPr>
        <w:t xml:space="preserve"> </w:t>
      </w:r>
      <w:r>
        <w:t>or</w:t>
      </w:r>
      <w:r>
        <w:rPr>
          <w:spacing w:val="1"/>
        </w:rPr>
        <w:t xml:space="preserve"> </w:t>
      </w:r>
      <w:r>
        <w:t>calculated,</w:t>
      </w:r>
      <w:r>
        <w:rPr>
          <w:spacing w:val="1"/>
        </w:rPr>
        <w:t xml:space="preserve"> </w:t>
      </w:r>
      <w:r>
        <w:t>expressing</w:t>
      </w:r>
      <w:r>
        <w:rPr>
          <w:spacing w:val="1"/>
        </w:rPr>
        <w:t xml:space="preserve"> </w:t>
      </w:r>
      <w:r>
        <w:t>the</w:t>
      </w:r>
      <w:r>
        <w:rPr>
          <w:spacing w:val="1"/>
        </w:rPr>
        <w:t xml:space="preserve"> </w:t>
      </w:r>
      <w:r>
        <w:t>result</w:t>
      </w:r>
      <w:r>
        <w:rPr>
          <w:spacing w:val="1"/>
        </w:rPr>
        <w:t xml:space="preserve"> </w:t>
      </w:r>
      <w:r>
        <w:t>of</w:t>
      </w:r>
      <w:r>
        <w:rPr>
          <w:spacing w:val="1"/>
        </w:rPr>
        <w:t xml:space="preserve"> </w:t>
      </w:r>
      <w:r>
        <w:t>a</w:t>
      </w:r>
      <w:r>
        <w:rPr>
          <w:spacing w:val="60"/>
        </w:rPr>
        <w:t xml:space="preserve"> </w:t>
      </w:r>
      <w:r>
        <w:t>test or analysis, shall be</w:t>
      </w:r>
      <w:r>
        <w:rPr>
          <w:spacing w:val="1"/>
        </w:rPr>
        <w:t xml:space="preserve"> </w:t>
      </w:r>
      <w:r>
        <w:t xml:space="preserve">rounded off </w:t>
      </w:r>
      <w:r>
        <w:lastRenderedPageBreak/>
        <w:t>in accordance with IS 2:2022 ‘Rules for rounding off numerical values (</w:t>
      </w:r>
      <w:r w:rsidRPr="008F3E18">
        <w:rPr>
          <w:i/>
          <w:iCs/>
        </w:rPr>
        <w:t>Second</w:t>
      </w:r>
      <w:r w:rsidRPr="008F3E18">
        <w:rPr>
          <w:i/>
          <w:iCs/>
          <w:spacing w:val="1"/>
        </w:rPr>
        <w:t xml:space="preserve"> </w:t>
      </w:r>
      <w:r w:rsidRPr="008F3E18">
        <w:rPr>
          <w:i/>
          <w:iCs/>
        </w:rPr>
        <w:t>Revision</w:t>
      </w:r>
      <w:r>
        <w:t>)</w:t>
      </w:r>
      <w:proofErr w:type="gramStart"/>
      <w:r>
        <w:t>’.The</w:t>
      </w:r>
      <w:proofErr w:type="gramEnd"/>
      <w:r>
        <w:t xml:space="preserve"> number of significant places retained in the rounded off value should be same as</w:t>
      </w:r>
      <w:r>
        <w:rPr>
          <w:spacing w:val="1"/>
        </w:rPr>
        <w:t xml:space="preserve"> </w:t>
      </w:r>
      <w:r>
        <w:t>that of the specified value in this standard</w:t>
      </w:r>
    </w:p>
    <w:sectPr w:rsidR="00DC1426">
      <w:headerReference w:type="default" r:id="rId7"/>
      <w:pgSz w:w="12240" w:h="15840"/>
      <w:pgMar w:top="1820" w:right="1300" w:bottom="280" w:left="1340" w:header="100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55E8" w:rsidRDefault="001A55E8">
      <w:r>
        <w:separator/>
      </w:r>
    </w:p>
  </w:endnote>
  <w:endnote w:type="continuationSeparator" w:id="0">
    <w:p w:rsidR="001A55E8" w:rsidRDefault="001A5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Kokila">
    <w:panose1 w:val="020B0604020202020204"/>
    <w:charset w:val="00"/>
    <w:family w:val="swiss"/>
    <w:pitch w:val="variable"/>
    <w:sig w:usb0="00008003" w:usb1="00000000" w:usb2="00000000" w:usb3="00000000" w:csb0="00000001" w:csb1="00000000"/>
  </w:font>
  <w:font w:name="Nirmala UI Semilight">
    <w:altName w:val="MS Mincho"/>
    <w:panose1 w:val="020B0402040204020203"/>
    <w:charset w:val="00"/>
    <w:family w:val="swiss"/>
    <w:pitch w:val="variable"/>
    <w:sig w:usb0="80FF8023" w:usb1="0200004A" w:usb2="000002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55E8" w:rsidRDefault="001A55E8">
      <w:r>
        <w:separator/>
      </w:r>
    </w:p>
  </w:footnote>
  <w:footnote w:type="continuationSeparator" w:id="0">
    <w:p w:rsidR="001A55E8" w:rsidRDefault="001A55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5EE8" w:rsidRDefault="00F95EE8" w:rsidP="00F95EE8">
    <w:pPr>
      <w:spacing w:before="10"/>
      <w:ind w:left="596" w:right="18" w:hanging="577"/>
      <w:jc w:val="right"/>
      <w:rPr>
        <w:b/>
        <w:sz w:val="24"/>
      </w:rPr>
    </w:pPr>
    <w:r w:rsidRPr="00430296">
      <w:rPr>
        <w:b/>
        <w:sz w:val="24"/>
      </w:rPr>
      <w:t xml:space="preserve">Doc </w:t>
    </w:r>
    <w:proofErr w:type="gramStart"/>
    <w:r w:rsidRPr="00430296">
      <w:rPr>
        <w:b/>
        <w:sz w:val="24"/>
      </w:rPr>
      <w:t>No. :</w:t>
    </w:r>
    <w:proofErr w:type="gramEnd"/>
    <w:r w:rsidRPr="00430296">
      <w:rPr>
        <w:b/>
        <w:sz w:val="24"/>
      </w:rPr>
      <w:t xml:space="preserve"> LITD 22 (</w:t>
    </w:r>
    <w:r w:rsidRPr="00430296">
      <w:rPr>
        <w:b/>
        <w:color w:val="202529"/>
        <w:sz w:val="24"/>
      </w:rPr>
      <w:t>23729</w:t>
    </w:r>
    <w:r w:rsidRPr="00430296">
      <w:rPr>
        <w:b/>
        <w:sz w:val="24"/>
      </w:rPr>
      <w:t>)</w:t>
    </w:r>
  </w:p>
  <w:p w:rsidR="00F95EE8" w:rsidRDefault="00F95EE8" w:rsidP="00F95EE8">
    <w:pPr>
      <w:spacing w:before="10"/>
      <w:ind w:left="596" w:right="18" w:hanging="577"/>
      <w:jc w:val="right"/>
      <w:rPr>
        <w:b/>
        <w:sz w:val="24"/>
      </w:rPr>
    </w:pPr>
    <w:r w:rsidRPr="00430296">
      <w:rPr>
        <w:b/>
        <w:spacing w:val="-57"/>
        <w:sz w:val="24"/>
      </w:rPr>
      <w:t xml:space="preserve"> </w:t>
    </w:r>
    <w:r w:rsidRPr="00430296">
      <w:rPr>
        <w:b/>
        <w:sz w:val="24"/>
      </w:rPr>
      <w:t>IS</w:t>
    </w:r>
    <w:r>
      <w:rPr>
        <w:b/>
        <w:sz w:val="24"/>
      </w:rPr>
      <w:t xml:space="preserve"> 16626 (Part 1</w:t>
    </w:r>
    <w:proofErr w:type="gramStart"/>
    <w:r>
      <w:rPr>
        <w:b/>
        <w:sz w:val="24"/>
      </w:rPr>
      <w:t>)</w:t>
    </w:r>
    <w:r w:rsidR="00B71577">
      <w:rPr>
        <w:b/>
        <w:sz w:val="24"/>
      </w:rPr>
      <w:t xml:space="preserve"> </w:t>
    </w:r>
    <w:r>
      <w:rPr>
        <w:b/>
        <w:sz w:val="24"/>
      </w:rPr>
      <w:t>:</w:t>
    </w:r>
    <w:proofErr w:type="gramEnd"/>
    <w:r>
      <w:rPr>
        <w:b/>
        <w:sz w:val="24"/>
      </w:rPr>
      <w:t xml:space="preserve"> 2024</w:t>
    </w:r>
  </w:p>
  <w:p w:rsidR="00F95EE8" w:rsidRDefault="00F95EE8" w:rsidP="00F95EE8">
    <w:pPr>
      <w:spacing w:before="10"/>
      <w:ind w:left="596" w:right="18" w:hanging="577"/>
      <w:jc w:val="right"/>
      <w:rPr>
        <w:b/>
        <w:sz w:val="24"/>
      </w:rPr>
    </w:pPr>
    <w:r>
      <w:rPr>
        <w:b/>
        <w:sz w:val="24"/>
      </w:rPr>
      <w:t xml:space="preserve">Identical with </w:t>
    </w:r>
    <w:r w:rsidRPr="00430296">
      <w:rPr>
        <w:b/>
        <w:sz w:val="24"/>
      </w:rPr>
      <w:t>ISO 19136-</w:t>
    </w:r>
    <w:proofErr w:type="gramStart"/>
    <w:r w:rsidRPr="00430296">
      <w:rPr>
        <w:b/>
        <w:sz w:val="24"/>
      </w:rPr>
      <w:t>1</w:t>
    </w:r>
    <w:r w:rsidR="00B71577">
      <w:rPr>
        <w:b/>
        <w:sz w:val="24"/>
      </w:rPr>
      <w:t xml:space="preserve"> </w:t>
    </w:r>
    <w:r w:rsidRPr="00430296">
      <w:rPr>
        <w:b/>
        <w:sz w:val="24"/>
      </w:rPr>
      <w:t>:</w:t>
    </w:r>
    <w:proofErr w:type="gramEnd"/>
    <w:r w:rsidR="00B71577">
      <w:rPr>
        <w:b/>
        <w:sz w:val="24"/>
      </w:rPr>
      <w:t xml:space="preserve"> </w:t>
    </w:r>
    <w:r w:rsidRPr="00430296">
      <w:rPr>
        <w:b/>
        <w:sz w:val="24"/>
      </w:rPr>
      <w:t>2020</w:t>
    </w:r>
  </w:p>
  <w:p w:rsidR="00DC1426" w:rsidRPr="00430296" w:rsidRDefault="00DC1426" w:rsidP="00430296">
    <w:pPr>
      <w:pStyle w:val="BodyTex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8338E"/>
    <w:multiLevelType w:val="hybridMultilevel"/>
    <w:tmpl w:val="9AA2A8B0"/>
    <w:lvl w:ilvl="0" w:tplc="B622D3AA">
      <w:start w:val="1"/>
      <w:numFmt w:val="lowerLetter"/>
      <w:lvlText w:val="%1)"/>
      <w:lvlJc w:val="left"/>
      <w:pPr>
        <w:ind w:left="720" w:hanging="360"/>
      </w:pPr>
      <w:rPr>
        <w:rFonts w:ascii="Times New Roman" w:eastAsia="Times New Roman" w:hAnsi="Times New Roman" w:cs="Times New Roman" w:hint="default"/>
        <w:w w:val="100"/>
        <w:sz w:val="24"/>
        <w:szCs w:val="24"/>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3A25735"/>
    <w:multiLevelType w:val="hybridMultilevel"/>
    <w:tmpl w:val="C49E635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76413EE"/>
    <w:multiLevelType w:val="hybridMultilevel"/>
    <w:tmpl w:val="89368256"/>
    <w:lvl w:ilvl="0" w:tplc="B622D3AA">
      <w:start w:val="1"/>
      <w:numFmt w:val="lowerLetter"/>
      <w:lvlText w:val="%1)"/>
      <w:lvlJc w:val="left"/>
      <w:pPr>
        <w:ind w:left="460" w:hanging="337"/>
      </w:pPr>
      <w:rPr>
        <w:rFonts w:ascii="Times New Roman" w:eastAsia="Times New Roman" w:hAnsi="Times New Roman" w:cs="Times New Roman" w:hint="default"/>
        <w:w w:val="100"/>
        <w:sz w:val="24"/>
        <w:szCs w:val="24"/>
        <w:lang w:val="en-US" w:eastAsia="en-US" w:bidi="ar-SA"/>
      </w:rPr>
    </w:lvl>
    <w:lvl w:ilvl="1" w:tplc="A024FBA0">
      <w:numFmt w:val="bullet"/>
      <w:lvlText w:val="●"/>
      <w:lvlJc w:val="left"/>
      <w:pPr>
        <w:ind w:left="820" w:hanging="360"/>
      </w:pPr>
      <w:rPr>
        <w:rFonts w:ascii="Microsoft Sans Serif" w:eastAsia="Microsoft Sans Serif" w:hAnsi="Microsoft Sans Serif" w:cs="Microsoft Sans Serif" w:hint="default"/>
        <w:w w:val="100"/>
        <w:sz w:val="24"/>
        <w:szCs w:val="24"/>
        <w:lang w:val="en-US" w:eastAsia="en-US" w:bidi="ar-SA"/>
      </w:rPr>
    </w:lvl>
    <w:lvl w:ilvl="2" w:tplc="F4F864C6">
      <w:numFmt w:val="bullet"/>
      <w:lvlText w:val="•"/>
      <w:lvlJc w:val="left"/>
      <w:pPr>
        <w:ind w:left="1795" w:hanging="360"/>
      </w:pPr>
      <w:rPr>
        <w:rFonts w:hint="default"/>
        <w:lang w:val="en-US" w:eastAsia="en-US" w:bidi="ar-SA"/>
      </w:rPr>
    </w:lvl>
    <w:lvl w:ilvl="3" w:tplc="68E48620">
      <w:numFmt w:val="bullet"/>
      <w:lvlText w:val="•"/>
      <w:lvlJc w:val="left"/>
      <w:pPr>
        <w:ind w:left="2771" w:hanging="360"/>
      </w:pPr>
      <w:rPr>
        <w:rFonts w:hint="default"/>
        <w:lang w:val="en-US" w:eastAsia="en-US" w:bidi="ar-SA"/>
      </w:rPr>
    </w:lvl>
    <w:lvl w:ilvl="4" w:tplc="12720500">
      <w:numFmt w:val="bullet"/>
      <w:lvlText w:val="•"/>
      <w:lvlJc w:val="left"/>
      <w:pPr>
        <w:ind w:left="3746" w:hanging="360"/>
      </w:pPr>
      <w:rPr>
        <w:rFonts w:hint="default"/>
        <w:lang w:val="en-US" w:eastAsia="en-US" w:bidi="ar-SA"/>
      </w:rPr>
    </w:lvl>
    <w:lvl w:ilvl="5" w:tplc="36801B4E">
      <w:numFmt w:val="bullet"/>
      <w:lvlText w:val="•"/>
      <w:lvlJc w:val="left"/>
      <w:pPr>
        <w:ind w:left="4722" w:hanging="360"/>
      </w:pPr>
      <w:rPr>
        <w:rFonts w:hint="default"/>
        <w:lang w:val="en-US" w:eastAsia="en-US" w:bidi="ar-SA"/>
      </w:rPr>
    </w:lvl>
    <w:lvl w:ilvl="6" w:tplc="FDD0C596">
      <w:numFmt w:val="bullet"/>
      <w:lvlText w:val="•"/>
      <w:lvlJc w:val="left"/>
      <w:pPr>
        <w:ind w:left="5697" w:hanging="360"/>
      </w:pPr>
      <w:rPr>
        <w:rFonts w:hint="default"/>
        <w:lang w:val="en-US" w:eastAsia="en-US" w:bidi="ar-SA"/>
      </w:rPr>
    </w:lvl>
    <w:lvl w:ilvl="7" w:tplc="96221194">
      <w:numFmt w:val="bullet"/>
      <w:lvlText w:val="•"/>
      <w:lvlJc w:val="left"/>
      <w:pPr>
        <w:ind w:left="6673" w:hanging="360"/>
      </w:pPr>
      <w:rPr>
        <w:rFonts w:hint="default"/>
        <w:lang w:val="en-US" w:eastAsia="en-US" w:bidi="ar-SA"/>
      </w:rPr>
    </w:lvl>
    <w:lvl w:ilvl="8" w:tplc="BC047496">
      <w:numFmt w:val="bullet"/>
      <w:lvlText w:val="•"/>
      <w:lvlJc w:val="left"/>
      <w:pPr>
        <w:ind w:left="7648" w:hanging="360"/>
      </w:pPr>
      <w:rPr>
        <w:rFonts w:hint="default"/>
        <w:lang w:val="en-US" w:eastAsia="en-US" w:bidi="ar-SA"/>
      </w:rPr>
    </w:lvl>
  </w:abstractNum>
  <w:abstractNum w:abstractNumId="3" w15:restartNumberingAfterBreak="0">
    <w:nsid w:val="2969509A"/>
    <w:multiLevelType w:val="multilevel"/>
    <w:tmpl w:val="D9925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151F96"/>
    <w:multiLevelType w:val="hybridMultilevel"/>
    <w:tmpl w:val="D28008F2"/>
    <w:lvl w:ilvl="0" w:tplc="D1960EDE">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3C5012A0"/>
    <w:multiLevelType w:val="hybridMultilevel"/>
    <w:tmpl w:val="E97CCF2E"/>
    <w:lvl w:ilvl="0" w:tplc="98C2BD7C">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436009BB"/>
    <w:multiLevelType w:val="hybridMultilevel"/>
    <w:tmpl w:val="DDC6747E"/>
    <w:lvl w:ilvl="0" w:tplc="B622D3AA">
      <w:start w:val="1"/>
      <w:numFmt w:val="lowerLetter"/>
      <w:lvlText w:val="%1)"/>
      <w:lvlJc w:val="left"/>
      <w:pPr>
        <w:ind w:left="720" w:hanging="360"/>
      </w:pPr>
      <w:rPr>
        <w:rFonts w:ascii="Times New Roman" w:eastAsia="Times New Roman" w:hAnsi="Times New Roman" w:cs="Times New Roman" w:hint="default"/>
        <w:w w:val="100"/>
        <w:sz w:val="24"/>
        <w:szCs w:val="24"/>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4E8B7919"/>
    <w:multiLevelType w:val="hybridMultilevel"/>
    <w:tmpl w:val="2B7A48B0"/>
    <w:lvl w:ilvl="0" w:tplc="91446B9E">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6"/>
  </w:num>
  <w:num w:numId="5">
    <w:abstractNumId w:val="5"/>
  </w:num>
  <w:num w:numId="6">
    <w:abstractNumId w:val="3"/>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426"/>
    <w:rsid w:val="00021505"/>
    <w:rsid w:val="000868B4"/>
    <w:rsid w:val="000A03B5"/>
    <w:rsid w:val="000C1034"/>
    <w:rsid w:val="00117B04"/>
    <w:rsid w:val="00142E0B"/>
    <w:rsid w:val="00143E6C"/>
    <w:rsid w:val="00165DFF"/>
    <w:rsid w:val="001A55E8"/>
    <w:rsid w:val="001E3765"/>
    <w:rsid w:val="001E61CD"/>
    <w:rsid w:val="002108B0"/>
    <w:rsid w:val="00215C3A"/>
    <w:rsid w:val="00241878"/>
    <w:rsid w:val="00253157"/>
    <w:rsid w:val="00284ABC"/>
    <w:rsid w:val="002B22D4"/>
    <w:rsid w:val="002B5E75"/>
    <w:rsid w:val="002D2835"/>
    <w:rsid w:val="002F30D7"/>
    <w:rsid w:val="00370C83"/>
    <w:rsid w:val="003B0175"/>
    <w:rsid w:val="003B0E26"/>
    <w:rsid w:val="00405BB1"/>
    <w:rsid w:val="00423F27"/>
    <w:rsid w:val="00430296"/>
    <w:rsid w:val="00447783"/>
    <w:rsid w:val="00471DA1"/>
    <w:rsid w:val="004D585E"/>
    <w:rsid w:val="004D7372"/>
    <w:rsid w:val="005234A9"/>
    <w:rsid w:val="005236D3"/>
    <w:rsid w:val="0052391A"/>
    <w:rsid w:val="005A4423"/>
    <w:rsid w:val="005B2E3F"/>
    <w:rsid w:val="005E094F"/>
    <w:rsid w:val="005E205D"/>
    <w:rsid w:val="00616A74"/>
    <w:rsid w:val="00664925"/>
    <w:rsid w:val="00717479"/>
    <w:rsid w:val="007605A3"/>
    <w:rsid w:val="007A3535"/>
    <w:rsid w:val="00815EDE"/>
    <w:rsid w:val="00893EE1"/>
    <w:rsid w:val="008F3E18"/>
    <w:rsid w:val="00983143"/>
    <w:rsid w:val="009A31AC"/>
    <w:rsid w:val="009A46F2"/>
    <w:rsid w:val="009B4FFA"/>
    <w:rsid w:val="009E2371"/>
    <w:rsid w:val="00AC6C85"/>
    <w:rsid w:val="00B00D06"/>
    <w:rsid w:val="00B71577"/>
    <w:rsid w:val="00B7259F"/>
    <w:rsid w:val="00B842D9"/>
    <w:rsid w:val="00BF5392"/>
    <w:rsid w:val="00C221A3"/>
    <w:rsid w:val="00C36D8C"/>
    <w:rsid w:val="00C371C7"/>
    <w:rsid w:val="00C9072C"/>
    <w:rsid w:val="00CA1299"/>
    <w:rsid w:val="00CB07E3"/>
    <w:rsid w:val="00CC65D8"/>
    <w:rsid w:val="00D73D1D"/>
    <w:rsid w:val="00DC1426"/>
    <w:rsid w:val="00E44A9A"/>
    <w:rsid w:val="00E96713"/>
    <w:rsid w:val="00EB5C45"/>
    <w:rsid w:val="00EC0F68"/>
    <w:rsid w:val="00EC60CF"/>
    <w:rsid w:val="00F05CAA"/>
    <w:rsid w:val="00F16B9F"/>
    <w:rsid w:val="00F46D74"/>
    <w:rsid w:val="00F856C8"/>
    <w:rsid w:val="00F92578"/>
    <w:rsid w:val="00F95EE8"/>
    <w:rsid w:val="00FB23DA"/>
    <w:rsid w:val="00FB7C05"/>
    <w:rsid w:val="00FE188C"/>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796735"/>
  <w15:docId w15:val="{7A4BFC55-35DE-4D6E-B79F-81EC05F34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00"/>
      <w:jc w:val="right"/>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89"/>
      <w:ind w:left="2531" w:right="2569"/>
      <w:jc w:val="center"/>
    </w:pPr>
    <w:rPr>
      <w:b/>
      <w:bCs/>
      <w:sz w:val="28"/>
      <w:szCs w:val="28"/>
      <w:u w:val="single" w:color="000000"/>
    </w:rPr>
  </w:style>
  <w:style w:type="paragraph" w:styleId="ListParagraph">
    <w:name w:val="List Paragraph"/>
    <w:basedOn w:val="Normal"/>
    <w:uiPriority w:val="1"/>
    <w:qFormat/>
    <w:pPr>
      <w:spacing w:before="1"/>
      <w:ind w:left="820" w:hanging="360"/>
    </w:pPr>
  </w:style>
  <w:style w:type="paragraph" w:customStyle="1" w:styleId="TableParagraph">
    <w:name w:val="Table Paragraph"/>
    <w:basedOn w:val="Normal"/>
    <w:uiPriority w:val="1"/>
    <w:qFormat/>
    <w:pPr>
      <w:ind w:left="104"/>
    </w:pPr>
  </w:style>
  <w:style w:type="paragraph" w:styleId="NormalWeb">
    <w:name w:val="Normal (Web)"/>
    <w:basedOn w:val="Normal"/>
    <w:uiPriority w:val="99"/>
    <w:semiHidden/>
    <w:unhideWhenUsed/>
    <w:rsid w:val="009E2371"/>
    <w:pPr>
      <w:widowControl/>
      <w:autoSpaceDE/>
      <w:autoSpaceDN/>
      <w:spacing w:before="100" w:beforeAutospacing="1" w:after="100" w:afterAutospacing="1"/>
    </w:pPr>
    <w:rPr>
      <w:sz w:val="24"/>
      <w:szCs w:val="24"/>
      <w:lang w:val="en-IN" w:eastAsia="en-IN" w:bidi="hi-IN"/>
    </w:rPr>
  </w:style>
  <w:style w:type="paragraph" w:styleId="Header">
    <w:name w:val="header"/>
    <w:basedOn w:val="Normal"/>
    <w:link w:val="HeaderChar"/>
    <w:uiPriority w:val="99"/>
    <w:unhideWhenUsed/>
    <w:rsid w:val="009E2371"/>
    <w:pPr>
      <w:tabs>
        <w:tab w:val="center" w:pos="4513"/>
        <w:tab w:val="right" w:pos="9026"/>
      </w:tabs>
    </w:pPr>
  </w:style>
  <w:style w:type="character" w:customStyle="1" w:styleId="HeaderChar">
    <w:name w:val="Header Char"/>
    <w:basedOn w:val="DefaultParagraphFont"/>
    <w:link w:val="Header"/>
    <w:uiPriority w:val="99"/>
    <w:rsid w:val="009E2371"/>
    <w:rPr>
      <w:rFonts w:ascii="Times New Roman" w:eastAsia="Times New Roman" w:hAnsi="Times New Roman" w:cs="Times New Roman"/>
    </w:rPr>
  </w:style>
  <w:style w:type="paragraph" w:styleId="Footer">
    <w:name w:val="footer"/>
    <w:basedOn w:val="Normal"/>
    <w:link w:val="FooterChar"/>
    <w:uiPriority w:val="99"/>
    <w:unhideWhenUsed/>
    <w:rsid w:val="009E2371"/>
    <w:pPr>
      <w:tabs>
        <w:tab w:val="center" w:pos="4513"/>
        <w:tab w:val="right" w:pos="9026"/>
      </w:tabs>
    </w:pPr>
  </w:style>
  <w:style w:type="character" w:customStyle="1" w:styleId="FooterChar">
    <w:name w:val="Footer Char"/>
    <w:basedOn w:val="DefaultParagraphFont"/>
    <w:link w:val="Footer"/>
    <w:uiPriority w:val="99"/>
    <w:rsid w:val="009E2371"/>
    <w:rPr>
      <w:rFonts w:ascii="Times New Roman" w:eastAsia="Times New Roman" w:hAnsi="Times New Roman" w:cs="Times New Roman"/>
    </w:rPr>
  </w:style>
  <w:style w:type="table" w:styleId="TableGrid">
    <w:name w:val="Table Grid"/>
    <w:basedOn w:val="TableNormal"/>
    <w:uiPriority w:val="39"/>
    <w:rsid w:val="005236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s-std-title">
    <w:name w:val="sts-std-title"/>
    <w:basedOn w:val="DefaultParagraphFont"/>
    <w:rsid w:val="005236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20097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TotalTime>
  <Pages>4</Pages>
  <Words>761</Words>
  <Characters>4341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IS/ISO 19136-1:2020.docx</vt:lpstr>
    </vt:vector>
  </TitlesOfParts>
  <Company>HP Inc.</Company>
  <LinksUpToDate>false</LinksUpToDate>
  <CharactersWithSpaces>5092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IS/ISO 19136-1:2020.docx</dc:title>
  <dc:creator>HP</dc:creator>
  <cp:lastModifiedBy>HP</cp:lastModifiedBy>
  <cp:revision>63</cp:revision>
  <dcterms:created xsi:type="dcterms:W3CDTF">2024-04-18T06:13:00Z</dcterms:created>
  <dcterms:modified xsi:type="dcterms:W3CDTF">2024-07-09T06:58:00Z</dcterms:modified>
</cp:coreProperties>
</file>