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C83FA" w14:textId="77777777" w:rsidR="002C120F" w:rsidRDefault="002C120F">
      <w:pPr>
        <w:pStyle w:val="BodyText"/>
        <w:rPr>
          <w:sz w:val="20"/>
        </w:rPr>
      </w:pPr>
    </w:p>
    <w:p w14:paraId="3E6FD3E1" w14:textId="77777777" w:rsidR="002C120F" w:rsidRDefault="002C120F">
      <w:pPr>
        <w:pStyle w:val="BodyText"/>
        <w:rPr>
          <w:sz w:val="20"/>
        </w:rPr>
      </w:pPr>
    </w:p>
    <w:p w14:paraId="7F941455" w14:textId="3645C809" w:rsidR="004C6D4A" w:rsidRPr="00B00522" w:rsidRDefault="004C6D4A">
      <w:pPr>
        <w:ind w:left="2531" w:right="2568"/>
        <w:jc w:val="center"/>
        <w:rPr>
          <w:b/>
          <w:iCs/>
          <w:sz w:val="44"/>
          <w:szCs w:val="44"/>
        </w:rPr>
      </w:pPr>
      <w:r w:rsidRPr="00B00522">
        <w:rPr>
          <w:rFonts w:cs="Arial Unicode MS" w:hint="cs"/>
          <w:b/>
          <w:iCs/>
          <w:sz w:val="44"/>
          <w:szCs w:val="44"/>
          <w:cs/>
          <w:lang w:bidi="hi-IN"/>
        </w:rPr>
        <w:t>भारतीय</w:t>
      </w:r>
      <w:r w:rsidRPr="00B00522">
        <w:rPr>
          <w:rFonts w:cs="Arial Unicode MS"/>
          <w:b/>
          <w:iCs/>
          <w:sz w:val="44"/>
          <w:szCs w:val="44"/>
          <w:cs/>
          <w:lang w:bidi="hi-IN"/>
        </w:rPr>
        <w:t xml:space="preserve"> </w:t>
      </w:r>
      <w:r w:rsidRPr="00B00522">
        <w:rPr>
          <w:rFonts w:cs="Arial Unicode MS" w:hint="cs"/>
          <w:b/>
          <w:iCs/>
          <w:sz w:val="44"/>
          <w:szCs w:val="44"/>
          <w:cs/>
          <w:lang w:bidi="hi-IN"/>
        </w:rPr>
        <w:t>मानक</w:t>
      </w:r>
    </w:p>
    <w:p w14:paraId="03AFC410" w14:textId="77777777" w:rsidR="00D24D8B" w:rsidRPr="00D24D8B" w:rsidRDefault="00D24D8B" w:rsidP="00D24D8B">
      <w:pPr>
        <w:pBdr>
          <w:bottom w:val="single" w:sz="4" w:space="1" w:color="000000"/>
        </w:pBdr>
        <w:jc w:val="center"/>
        <w:rPr>
          <w:rFonts w:ascii="Agency FB" w:eastAsia="Kokila" w:hAnsi="Agency FB" w:cs="Arial Unicode MS"/>
          <w:b/>
          <w:bCs/>
          <w:iCs/>
          <w:sz w:val="44"/>
          <w:szCs w:val="44"/>
          <w:lang w:bidi="hi-IN"/>
        </w:rPr>
      </w:pPr>
      <w:r w:rsidRPr="00D24D8B">
        <w:rPr>
          <w:rFonts w:ascii="Nirmala UI" w:eastAsia="Kokila" w:hAnsi="Nirmala UI" w:cs="Nirmala UI"/>
          <w:b/>
          <w:bCs/>
          <w:iCs/>
          <w:sz w:val="44"/>
          <w:szCs w:val="44"/>
          <w:lang w:bidi="hi-IN"/>
        </w:rPr>
        <w:t>सूचना</w:t>
      </w:r>
      <w:r w:rsidRPr="00D24D8B">
        <w:rPr>
          <w:rFonts w:ascii="Agency FB" w:eastAsia="Kokila" w:hAnsi="Agency FB" w:cs="Arial Unicode MS"/>
          <w:b/>
          <w:bCs/>
          <w:iCs/>
          <w:sz w:val="44"/>
          <w:szCs w:val="44"/>
          <w:lang w:bidi="hi-IN"/>
        </w:rPr>
        <w:t xml:space="preserve"> </w:t>
      </w:r>
      <w:r w:rsidRPr="00D24D8B">
        <w:rPr>
          <w:rFonts w:ascii="Nirmala UI" w:eastAsia="Kokila" w:hAnsi="Nirmala UI" w:cs="Nirmala UI"/>
          <w:b/>
          <w:bCs/>
          <w:iCs/>
          <w:sz w:val="44"/>
          <w:szCs w:val="44"/>
          <w:lang w:bidi="hi-IN"/>
        </w:rPr>
        <w:t>प्रौद्योगिकी</w:t>
      </w:r>
      <w:r w:rsidRPr="00D24D8B">
        <w:rPr>
          <w:rFonts w:ascii="Agency FB" w:eastAsia="Kokila" w:hAnsi="Agency FB" w:cs="Arial Unicode MS"/>
          <w:b/>
          <w:bCs/>
          <w:iCs/>
          <w:sz w:val="44"/>
          <w:szCs w:val="44"/>
          <w:lang w:bidi="hi-IN"/>
        </w:rPr>
        <w:t xml:space="preserve"> - </w:t>
      </w:r>
      <w:r w:rsidRPr="00D24D8B">
        <w:rPr>
          <w:rFonts w:ascii="Nirmala UI" w:eastAsia="Kokila" w:hAnsi="Nirmala UI" w:cs="Nirmala UI"/>
          <w:b/>
          <w:bCs/>
          <w:iCs/>
          <w:sz w:val="44"/>
          <w:szCs w:val="44"/>
          <w:lang w:bidi="hi-IN"/>
        </w:rPr>
        <w:t>आईटी</w:t>
      </w:r>
      <w:r w:rsidRPr="00D24D8B">
        <w:rPr>
          <w:rFonts w:ascii="Agency FB" w:eastAsia="Kokila" w:hAnsi="Agency FB" w:cs="Arial Unicode MS"/>
          <w:b/>
          <w:bCs/>
          <w:iCs/>
          <w:sz w:val="44"/>
          <w:szCs w:val="44"/>
          <w:lang w:bidi="hi-IN"/>
        </w:rPr>
        <w:t xml:space="preserve"> </w:t>
      </w:r>
      <w:r w:rsidRPr="00D24D8B">
        <w:rPr>
          <w:rFonts w:ascii="Nirmala UI" w:eastAsia="Kokila" w:hAnsi="Nirmala UI" w:cs="Nirmala UI"/>
          <w:b/>
          <w:bCs/>
          <w:iCs/>
          <w:sz w:val="44"/>
          <w:szCs w:val="44"/>
          <w:lang w:bidi="hi-IN"/>
        </w:rPr>
        <w:t>समर्थित</w:t>
      </w:r>
      <w:r w:rsidRPr="00D24D8B">
        <w:rPr>
          <w:rFonts w:ascii="Agency FB" w:eastAsia="Kokila" w:hAnsi="Agency FB" w:cs="Arial Unicode MS"/>
          <w:b/>
          <w:bCs/>
          <w:iCs/>
          <w:sz w:val="44"/>
          <w:szCs w:val="44"/>
          <w:lang w:bidi="hi-IN"/>
        </w:rPr>
        <w:t xml:space="preserve"> </w:t>
      </w:r>
    </w:p>
    <w:p w14:paraId="09015157" w14:textId="77777777" w:rsidR="00D24D8B" w:rsidRPr="00D24D8B" w:rsidRDefault="00D24D8B" w:rsidP="00D24D8B">
      <w:pPr>
        <w:pBdr>
          <w:bottom w:val="single" w:sz="4" w:space="1" w:color="000000"/>
        </w:pBdr>
        <w:jc w:val="center"/>
        <w:rPr>
          <w:rFonts w:ascii="Agency FB" w:eastAsia="Kokila" w:hAnsi="Agency FB" w:cs="Arial Unicode MS"/>
          <w:b/>
          <w:bCs/>
          <w:iCs/>
          <w:sz w:val="44"/>
          <w:szCs w:val="44"/>
          <w:lang w:bidi="hi-IN"/>
        </w:rPr>
      </w:pPr>
      <w:r w:rsidRPr="00D24D8B">
        <w:rPr>
          <w:rFonts w:ascii="Nirmala UI" w:eastAsia="Kokila" w:hAnsi="Nirmala UI" w:cs="Nirmala UI"/>
          <w:b/>
          <w:bCs/>
          <w:iCs/>
          <w:sz w:val="44"/>
          <w:szCs w:val="44"/>
          <w:lang w:bidi="hi-IN"/>
        </w:rPr>
        <w:t>सेवाएं</w:t>
      </w:r>
      <w:r w:rsidRPr="00D24D8B">
        <w:rPr>
          <w:rFonts w:ascii="Agency FB" w:eastAsia="Kokila" w:hAnsi="Agency FB" w:cs="Arial Unicode MS"/>
          <w:b/>
          <w:bCs/>
          <w:iCs/>
          <w:sz w:val="44"/>
          <w:szCs w:val="44"/>
          <w:lang w:bidi="hi-IN"/>
        </w:rPr>
        <w:t>-</w:t>
      </w:r>
      <w:r w:rsidRPr="00D24D8B">
        <w:rPr>
          <w:rFonts w:ascii="Nirmala UI" w:eastAsia="Kokila" w:hAnsi="Nirmala UI" w:cs="Nirmala UI"/>
          <w:b/>
          <w:bCs/>
          <w:iCs/>
          <w:sz w:val="44"/>
          <w:szCs w:val="44"/>
          <w:lang w:bidi="hi-IN"/>
        </w:rPr>
        <w:t>बिजनेस</w:t>
      </w:r>
      <w:r w:rsidRPr="00D24D8B">
        <w:rPr>
          <w:rFonts w:ascii="Agency FB" w:eastAsia="Kokila" w:hAnsi="Agency FB" w:cs="Arial Unicode MS"/>
          <w:b/>
          <w:bCs/>
          <w:iCs/>
          <w:sz w:val="44"/>
          <w:szCs w:val="44"/>
          <w:lang w:bidi="hi-IN"/>
        </w:rPr>
        <w:t xml:space="preserve">  </w:t>
      </w:r>
      <w:r w:rsidRPr="00D24D8B">
        <w:rPr>
          <w:rFonts w:ascii="Nirmala UI" w:eastAsia="Kokila" w:hAnsi="Nirmala UI" w:cs="Nirmala UI"/>
          <w:b/>
          <w:bCs/>
          <w:iCs/>
          <w:sz w:val="44"/>
          <w:szCs w:val="44"/>
          <w:lang w:bidi="hi-IN"/>
        </w:rPr>
        <w:t>प्रोसेस</w:t>
      </w:r>
      <w:r w:rsidRPr="00D24D8B">
        <w:rPr>
          <w:rFonts w:ascii="Agency FB" w:eastAsia="Kokila" w:hAnsi="Agency FB" w:cs="Arial Unicode MS"/>
          <w:b/>
          <w:bCs/>
          <w:iCs/>
          <w:sz w:val="44"/>
          <w:szCs w:val="44"/>
          <w:lang w:bidi="hi-IN"/>
        </w:rPr>
        <w:t xml:space="preserve">  </w:t>
      </w:r>
      <w:r w:rsidRPr="00D24D8B">
        <w:rPr>
          <w:rFonts w:ascii="Nirmala UI" w:eastAsia="Kokila" w:hAnsi="Nirmala UI" w:cs="Nirmala UI"/>
          <w:b/>
          <w:bCs/>
          <w:iCs/>
          <w:sz w:val="44"/>
          <w:szCs w:val="44"/>
          <w:lang w:bidi="hi-IN"/>
        </w:rPr>
        <w:t>आउटसोर्सिंग</w:t>
      </w:r>
      <w:r w:rsidRPr="00D24D8B">
        <w:rPr>
          <w:rFonts w:ascii="Agency FB" w:eastAsia="Kokila" w:hAnsi="Agency FB" w:cs="Arial Unicode MS"/>
          <w:b/>
          <w:bCs/>
          <w:iCs/>
          <w:sz w:val="44"/>
          <w:szCs w:val="44"/>
          <w:lang w:bidi="hi-IN"/>
        </w:rPr>
        <w:t xml:space="preserve"> </w:t>
      </w:r>
    </w:p>
    <w:p w14:paraId="129A1A93" w14:textId="77777777" w:rsidR="00D24D8B" w:rsidRPr="00D24D8B" w:rsidRDefault="00D24D8B" w:rsidP="00D24D8B">
      <w:pPr>
        <w:pBdr>
          <w:bottom w:val="single" w:sz="4" w:space="1" w:color="000000"/>
        </w:pBdr>
        <w:jc w:val="center"/>
        <w:rPr>
          <w:rFonts w:ascii="Agency FB" w:eastAsia="Kokila" w:hAnsi="Agency FB" w:cs="Arial Unicode MS"/>
          <w:b/>
          <w:bCs/>
          <w:iCs/>
          <w:sz w:val="44"/>
          <w:szCs w:val="44"/>
          <w:lang w:bidi="hi-IN"/>
        </w:rPr>
      </w:pPr>
      <w:r w:rsidRPr="00D24D8B">
        <w:rPr>
          <w:rFonts w:ascii="Agency FB" w:eastAsia="Kokila" w:hAnsi="Agency FB" w:cs="Arial Unicode MS"/>
          <w:b/>
          <w:bCs/>
          <w:iCs/>
          <w:sz w:val="44"/>
          <w:szCs w:val="44"/>
          <w:lang w:bidi="hi-IN"/>
        </w:rPr>
        <w:t>(</w:t>
      </w:r>
      <w:r w:rsidRPr="00D24D8B">
        <w:rPr>
          <w:rFonts w:ascii="Nirmala UI" w:eastAsia="Kokila" w:hAnsi="Nirmala UI" w:cs="Nirmala UI"/>
          <w:b/>
          <w:bCs/>
          <w:iCs/>
          <w:sz w:val="44"/>
          <w:szCs w:val="44"/>
          <w:lang w:bidi="hi-IN"/>
        </w:rPr>
        <w:t>आईटीईएस</w:t>
      </w:r>
      <w:r w:rsidRPr="00D24D8B">
        <w:rPr>
          <w:rFonts w:ascii="Agency FB" w:eastAsia="Kokila" w:hAnsi="Agency FB" w:cs="Arial Unicode MS"/>
          <w:b/>
          <w:bCs/>
          <w:iCs/>
          <w:sz w:val="44"/>
          <w:szCs w:val="44"/>
          <w:lang w:bidi="hi-IN"/>
        </w:rPr>
        <w:t>-</w:t>
      </w:r>
      <w:r w:rsidRPr="00D24D8B">
        <w:rPr>
          <w:rFonts w:ascii="Nirmala UI" w:eastAsia="Kokila" w:hAnsi="Nirmala UI" w:cs="Nirmala UI"/>
          <w:b/>
          <w:bCs/>
          <w:iCs/>
          <w:sz w:val="44"/>
          <w:szCs w:val="44"/>
          <w:lang w:bidi="hi-IN"/>
        </w:rPr>
        <w:t>बीपीओ</w:t>
      </w:r>
      <w:r w:rsidRPr="00D24D8B">
        <w:rPr>
          <w:rFonts w:ascii="Agency FB" w:eastAsia="Kokila" w:hAnsi="Agency FB" w:cs="Arial Unicode MS"/>
          <w:b/>
          <w:bCs/>
          <w:iCs/>
          <w:sz w:val="44"/>
          <w:szCs w:val="44"/>
          <w:lang w:bidi="hi-IN"/>
        </w:rPr>
        <w:t xml:space="preserve">) </w:t>
      </w:r>
      <w:r w:rsidRPr="00D24D8B">
        <w:rPr>
          <w:rFonts w:ascii="Nirmala UI" w:eastAsia="Kokila" w:hAnsi="Nirmala UI" w:cs="Nirmala UI"/>
          <w:b/>
          <w:bCs/>
          <w:iCs/>
          <w:sz w:val="44"/>
          <w:szCs w:val="44"/>
          <w:lang w:bidi="hi-IN"/>
        </w:rPr>
        <w:t>जीवन</w:t>
      </w:r>
      <w:r w:rsidRPr="00D24D8B">
        <w:rPr>
          <w:rFonts w:ascii="Agency FB" w:eastAsia="Kokila" w:hAnsi="Agency FB" w:cs="Arial Unicode MS"/>
          <w:b/>
          <w:bCs/>
          <w:iCs/>
          <w:sz w:val="44"/>
          <w:szCs w:val="44"/>
          <w:lang w:bidi="hi-IN"/>
        </w:rPr>
        <w:t xml:space="preserve"> </w:t>
      </w:r>
      <w:r w:rsidRPr="00D24D8B">
        <w:rPr>
          <w:rFonts w:ascii="Nirmala UI" w:eastAsia="Kokila" w:hAnsi="Nirmala UI" w:cs="Nirmala UI"/>
          <w:b/>
          <w:bCs/>
          <w:iCs/>
          <w:sz w:val="44"/>
          <w:szCs w:val="44"/>
          <w:lang w:bidi="hi-IN"/>
        </w:rPr>
        <w:t>चक्र</w:t>
      </w:r>
      <w:r w:rsidRPr="00D24D8B">
        <w:rPr>
          <w:rFonts w:ascii="Agency FB" w:eastAsia="Kokila" w:hAnsi="Agency FB" w:cs="Arial Unicode MS"/>
          <w:b/>
          <w:bCs/>
          <w:iCs/>
          <w:sz w:val="44"/>
          <w:szCs w:val="44"/>
          <w:lang w:bidi="hi-IN"/>
        </w:rPr>
        <w:t xml:space="preserve"> </w:t>
      </w:r>
      <w:r w:rsidRPr="00D24D8B">
        <w:rPr>
          <w:rFonts w:ascii="Nirmala UI" w:eastAsia="Kokila" w:hAnsi="Nirmala UI" w:cs="Nirmala UI"/>
          <w:b/>
          <w:bCs/>
          <w:iCs/>
          <w:sz w:val="44"/>
          <w:szCs w:val="44"/>
          <w:lang w:bidi="hi-IN"/>
        </w:rPr>
        <w:t>प्रक्रिया</w:t>
      </w:r>
      <w:r w:rsidRPr="00D24D8B">
        <w:rPr>
          <w:rFonts w:ascii="Agency FB" w:eastAsia="Kokila" w:hAnsi="Agency FB" w:cs="Arial Unicode MS"/>
          <w:b/>
          <w:bCs/>
          <w:iCs/>
          <w:sz w:val="44"/>
          <w:szCs w:val="44"/>
          <w:cs/>
          <w:lang w:bidi="hi-IN"/>
        </w:rPr>
        <w:t xml:space="preserve"> </w:t>
      </w:r>
    </w:p>
    <w:p w14:paraId="2C26BAEB" w14:textId="586E9847" w:rsidR="004301B8" w:rsidRPr="00FE5045" w:rsidRDefault="004301B8" w:rsidP="004301B8">
      <w:pPr>
        <w:pBdr>
          <w:bottom w:val="single" w:sz="4" w:space="1" w:color="000000"/>
        </w:pBdr>
        <w:jc w:val="center"/>
        <w:rPr>
          <w:rFonts w:ascii="Kokila" w:eastAsia="Kokila" w:hAnsi="Kokila" w:cs="Arial Unicode MS"/>
          <w:bCs/>
          <w:i/>
          <w:sz w:val="44"/>
          <w:szCs w:val="44"/>
          <w:lang w:bidi="hi-IN"/>
        </w:rPr>
      </w:pPr>
      <w:r w:rsidRPr="00FE5045">
        <w:rPr>
          <w:rFonts w:ascii="Nirmala UI" w:eastAsia="Kokila" w:hAnsi="Nirmala UI" w:cs="Nirmala UI" w:hint="cs"/>
          <w:bCs/>
          <w:i/>
          <w:sz w:val="44"/>
          <w:szCs w:val="44"/>
          <w:cs/>
          <w:lang w:bidi="hi-IN"/>
        </w:rPr>
        <w:t>भ</w:t>
      </w:r>
      <w:r w:rsidRPr="00FE5045">
        <w:rPr>
          <w:rFonts w:ascii="Kokila" w:eastAsia="Kokila" w:hAnsi="Kokila" w:cs="Arial Unicode MS" w:hint="cs"/>
          <w:bCs/>
          <w:i/>
          <w:sz w:val="44"/>
          <w:szCs w:val="44"/>
          <w:cs/>
          <w:lang w:bidi="hi-IN"/>
        </w:rPr>
        <w:t>ाग</w:t>
      </w:r>
      <w:r w:rsidRPr="00371296">
        <w:rPr>
          <w:rFonts w:ascii="Kokila" w:eastAsia="Kokila" w:hAnsi="Kokila" w:cs="Arial Unicode MS"/>
          <w:bCs/>
          <w:i/>
          <w:sz w:val="44"/>
          <w:szCs w:val="44"/>
          <w:cs/>
          <w:lang w:bidi="hi-IN"/>
        </w:rPr>
        <w:t xml:space="preserve"> </w:t>
      </w:r>
      <w:r w:rsidRPr="00371296">
        <w:rPr>
          <w:rFonts w:eastAsia="Kokila"/>
          <w:bCs/>
          <w:iCs/>
          <w:sz w:val="44"/>
          <w:szCs w:val="44"/>
          <w:lang w:bidi="hi-IN"/>
        </w:rPr>
        <w:t>6</w:t>
      </w:r>
      <w:r w:rsidR="00371296" w:rsidRPr="00371296">
        <w:rPr>
          <w:rFonts w:eastAsia="Kokila"/>
          <w:bCs/>
          <w:iCs/>
          <w:sz w:val="44"/>
          <w:szCs w:val="44"/>
          <w:lang w:bidi="hi-IN"/>
        </w:rPr>
        <w:t xml:space="preserve"> </w:t>
      </w:r>
      <w:r w:rsidR="00371296" w:rsidRPr="00371296">
        <w:rPr>
          <w:rFonts w:ascii="Kokila" w:eastAsia="Kokila" w:hAnsi="Kokila" w:cs="Arial Unicode MS"/>
          <w:bCs/>
          <w:i/>
          <w:sz w:val="44"/>
          <w:szCs w:val="44"/>
          <w:lang w:bidi="hi-IN"/>
        </w:rPr>
        <w:t xml:space="preserve"> </w:t>
      </w:r>
      <w:r w:rsidRPr="00FE5045">
        <w:rPr>
          <w:rFonts w:ascii="Kokila" w:eastAsia="Kokila" w:hAnsi="Kokila" w:cs="Arial Unicode MS" w:hint="cs"/>
          <w:bCs/>
          <w:i/>
          <w:sz w:val="44"/>
          <w:szCs w:val="44"/>
          <w:cs/>
          <w:lang w:bidi="hi-IN"/>
        </w:rPr>
        <w:t>जोखिम</w:t>
      </w:r>
      <w:r w:rsidRPr="00FE5045">
        <w:rPr>
          <w:rFonts w:ascii="Kokila" w:eastAsia="Kokila" w:hAnsi="Kokila" w:cs="Arial Unicode MS"/>
          <w:bCs/>
          <w:i/>
          <w:sz w:val="44"/>
          <w:szCs w:val="44"/>
          <w:cs/>
          <w:lang w:bidi="hi-IN"/>
        </w:rPr>
        <w:t xml:space="preserve"> </w:t>
      </w:r>
      <w:r w:rsidRPr="00FE5045">
        <w:rPr>
          <w:rFonts w:ascii="Kokila" w:eastAsia="Kokila" w:hAnsi="Kokila" w:cs="Arial Unicode MS" w:hint="cs"/>
          <w:bCs/>
          <w:i/>
          <w:sz w:val="44"/>
          <w:szCs w:val="44"/>
          <w:cs/>
          <w:lang w:bidi="hi-IN"/>
        </w:rPr>
        <w:t>प्रबंधन</w:t>
      </w:r>
      <w:r w:rsidRPr="00FE5045">
        <w:rPr>
          <w:rFonts w:ascii="Kokila" w:eastAsia="Kokila" w:hAnsi="Kokila" w:cs="Arial Unicode MS"/>
          <w:bCs/>
          <w:i/>
          <w:sz w:val="44"/>
          <w:szCs w:val="44"/>
          <w:cs/>
          <w:lang w:bidi="hi-IN"/>
        </w:rPr>
        <w:t xml:space="preserve"> </w:t>
      </w:r>
      <w:r w:rsidRPr="00FE5045">
        <w:rPr>
          <w:rFonts w:ascii="Kokila" w:eastAsia="Kokila" w:hAnsi="Kokila" w:cs="Arial Unicode MS" w:hint="cs"/>
          <w:bCs/>
          <w:i/>
          <w:sz w:val="44"/>
          <w:szCs w:val="44"/>
          <w:cs/>
          <w:lang w:bidi="hi-IN"/>
        </w:rPr>
        <w:t>पर</w:t>
      </w:r>
      <w:r w:rsidRPr="00FE5045">
        <w:rPr>
          <w:rFonts w:ascii="Kokila" w:eastAsia="Kokila" w:hAnsi="Kokila" w:cs="Arial Unicode MS"/>
          <w:bCs/>
          <w:i/>
          <w:sz w:val="44"/>
          <w:szCs w:val="44"/>
          <w:cs/>
          <w:lang w:bidi="hi-IN"/>
        </w:rPr>
        <w:t xml:space="preserve"> </w:t>
      </w:r>
      <w:r w:rsidRPr="00FE5045">
        <w:rPr>
          <w:rFonts w:ascii="Kokila" w:eastAsia="Kokila" w:hAnsi="Kokila" w:cs="Arial Unicode MS" w:hint="cs"/>
          <w:bCs/>
          <w:i/>
          <w:sz w:val="44"/>
          <w:szCs w:val="44"/>
          <w:cs/>
          <w:lang w:bidi="hi-IN"/>
        </w:rPr>
        <w:t>दिशा</w:t>
      </w:r>
      <w:r w:rsidR="00582B86" w:rsidRPr="00FE5045">
        <w:rPr>
          <w:rFonts w:ascii="Kokila" w:eastAsia="Kokila" w:hAnsi="Kokila" w:cs="Arial Unicode MS"/>
          <w:bCs/>
          <w:i/>
          <w:sz w:val="44"/>
          <w:szCs w:val="44"/>
          <w:lang w:bidi="hi-IN"/>
        </w:rPr>
        <w:t xml:space="preserve"> -</w:t>
      </w:r>
      <w:r w:rsidRPr="00FE5045">
        <w:rPr>
          <w:rFonts w:ascii="Kokila" w:eastAsia="Kokila" w:hAnsi="Kokila" w:cs="Arial Unicode MS" w:hint="cs"/>
          <w:bCs/>
          <w:i/>
          <w:sz w:val="44"/>
          <w:szCs w:val="44"/>
          <w:cs/>
          <w:lang w:bidi="hi-IN"/>
        </w:rPr>
        <w:t>निर्देश</w:t>
      </w:r>
    </w:p>
    <w:p w14:paraId="64DD83E3" w14:textId="77777777" w:rsidR="004301B8" w:rsidRPr="00FB0A09" w:rsidRDefault="004301B8" w:rsidP="004301B8">
      <w:pPr>
        <w:pBdr>
          <w:bottom w:val="single" w:sz="4" w:space="1" w:color="000000"/>
        </w:pBdr>
        <w:jc w:val="center"/>
        <w:rPr>
          <w:rFonts w:ascii="Kokila" w:eastAsia="Kokila" w:hAnsi="Kokila" w:cs="Kokila"/>
          <w:iCs/>
          <w:sz w:val="44"/>
          <w:szCs w:val="44"/>
        </w:rPr>
      </w:pPr>
    </w:p>
    <w:p w14:paraId="21199659" w14:textId="77777777" w:rsidR="00CE2C18" w:rsidRDefault="00CE2C18" w:rsidP="00CE2C18">
      <w:pPr>
        <w:jc w:val="center"/>
        <w:rPr>
          <w:b/>
          <w:sz w:val="28"/>
          <w:szCs w:val="28"/>
        </w:rPr>
      </w:pPr>
    </w:p>
    <w:p w14:paraId="6DA9A9F9" w14:textId="5405A84E" w:rsidR="00CE2C18" w:rsidRPr="00B00522" w:rsidRDefault="00CE2C18" w:rsidP="00CE2C18">
      <w:pPr>
        <w:jc w:val="center"/>
        <w:rPr>
          <w:bCs/>
          <w:i/>
          <w:sz w:val="44"/>
          <w:szCs w:val="44"/>
        </w:rPr>
      </w:pPr>
      <w:r w:rsidRPr="00B00522">
        <w:rPr>
          <w:bCs/>
          <w:i/>
          <w:sz w:val="44"/>
          <w:szCs w:val="44"/>
        </w:rPr>
        <w:t>Indian Standard</w:t>
      </w:r>
    </w:p>
    <w:p w14:paraId="20EAA6E7" w14:textId="77777777" w:rsidR="00977ABD" w:rsidRPr="00FE5045" w:rsidRDefault="00CE2C18" w:rsidP="00977ABD">
      <w:pPr>
        <w:jc w:val="center"/>
        <w:rPr>
          <w:b/>
          <w:iCs/>
          <w:sz w:val="44"/>
          <w:szCs w:val="44"/>
        </w:rPr>
      </w:pPr>
      <w:r w:rsidRPr="00FE5045">
        <w:rPr>
          <w:b/>
          <w:iCs/>
          <w:sz w:val="44"/>
          <w:szCs w:val="44"/>
        </w:rPr>
        <w:tab/>
      </w:r>
      <w:r w:rsidR="00274CAD" w:rsidRPr="00FE5045">
        <w:rPr>
          <w:b/>
          <w:iCs/>
          <w:sz w:val="44"/>
          <w:szCs w:val="44"/>
        </w:rPr>
        <w:t>Information T</w:t>
      </w:r>
      <w:r w:rsidR="00977ABD" w:rsidRPr="00FE5045">
        <w:rPr>
          <w:b/>
          <w:iCs/>
          <w:sz w:val="44"/>
          <w:szCs w:val="44"/>
        </w:rPr>
        <w:t>echnology — IT Enabled Services-Business Process Outsourcing (ITES-BPO) lifecycle processes</w:t>
      </w:r>
    </w:p>
    <w:p w14:paraId="65119FB1" w14:textId="31957105" w:rsidR="00CE2C18" w:rsidRPr="00FE5045" w:rsidRDefault="00977ABD" w:rsidP="00977ABD">
      <w:pPr>
        <w:jc w:val="center"/>
        <w:rPr>
          <w:b/>
          <w:iCs/>
          <w:sz w:val="44"/>
          <w:szCs w:val="44"/>
        </w:rPr>
      </w:pPr>
      <w:r w:rsidRPr="00FE5045">
        <w:rPr>
          <w:b/>
          <w:iCs/>
          <w:sz w:val="44"/>
          <w:szCs w:val="44"/>
        </w:rPr>
        <w:t>Part 6</w:t>
      </w:r>
      <w:r w:rsidR="00371296">
        <w:rPr>
          <w:b/>
          <w:iCs/>
          <w:sz w:val="44"/>
          <w:szCs w:val="44"/>
        </w:rPr>
        <w:t xml:space="preserve"> </w:t>
      </w:r>
      <w:r w:rsidRPr="00FE5045">
        <w:rPr>
          <w:b/>
          <w:iCs/>
          <w:sz w:val="44"/>
          <w:szCs w:val="44"/>
        </w:rPr>
        <w:t>Guidelines on risk management</w:t>
      </w:r>
    </w:p>
    <w:p w14:paraId="702836D8" w14:textId="77777777" w:rsidR="00934F6B" w:rsidRDefault="00934F6B" w:rsidP="00CE2C18">
      <w:pPr>
        <w:jc w:val="center"/>
        <w:rPr>
          <w:b/>
          <w:i/>
          <w:sz w:val="44"/>
          <w:szCs w:val="44"/>
        </w:rPr>
      </w:pPr>
    </w:p>
    <w:p w14:paraId="51CCEBBD" w14:textId="4D1DA3E2" w:rsidR="00DC54F5" w:rsidRPr="007C72F2" w:rsidRDefault="00DC54F5" w:rsidP="00CE2C18">
      <w:pPr>
        <w:jc w:val="center"/>
        <w:rPr>
          <w:bCs/>
          <w:iCs/>
          <w:sz w:val="28"/>
          <w:szCs w:val="28"/>
        </w:rPr>
      </w:pPr>
      <w:r w:rsidRPr="007C72F2">
        <w:rPr>
          <w:bCs/>
          <w:iCs/>
          <w:sz w:val="28"/>
          <w:szCs w:val="28"/>
        </w:rPr>
        <w:t xml:space="preserve">ICS  </w:t>
      </w:r>
      <w:r w:rsidR="00DA3BC1" w:rsidRPr="007C72F2">
        <w:rPr>
          <w:bCs/>
          <w:iCs/>
          <w:sz w:val="28"/>
          <w:szCs w:val="28"/>
        </w:rPr>
        <w:t>35.020</w:t>
      </w:r>
    </w:p>
    <w:p w14:paraId="3D7C8176" w14:textId="77777777" w:rsidR="002C120F" w:rsidRDefault="002C120F">
      <w:pPr>
        <w:pStyle w:val="BodyText"/>
        <w:rPr>
          <w:i/>
          <w:sz w:val="20"/>
        </w:rPr>
      </w:pPr>
    </w:p>
    <w:p w14:paraId="6C7F5080" w14:textId="77777777" w:rsidR="00934F6B" w:rsidRDefault="00934F6B">
      <w:pPr>
        <w:pStyle w:val="BodyText"/>
        <w:rPr>
          <w:i/>
          <w:sz w:val="20"/>
        </w:rPr>
      </w:pPr>
    </w:p>
    <w:p w14:paraId="6B402706" w14:textId="77777777" w:rsidR="00934F6B" w:rsidRDefault="00934F6B">
      <w:pPr>
        <w:pStyle w:val="BodyText"/>
        <w:rPr>
          <w:i/>
          <w:sz w:val="20"/>
        </w:rPr>
      </w:pPr>
    </w:p>
    <w:p w14:paraId="1725FA02" w14:textId="77777777" w:rsidR="00934F6B" w:rsidRDefault="00934F6B">
      <w:pPr>
        <w:pStyle w:val="BodyText"/>
        <w:rPr>
          <w:i/>
          <w:sz w:val="20"/>
        </w:rPr>
      </w:pPr>
    </w:p>
    <w:p w14:paraId="26F4D6B3" w14:textId="77777777" w:rsidR="00934F6B" w:rsidRDefault="00934F6B">
      <w:pPr>
        <w:pStyle w:val="BodyText"/>
        <w:rPr>
          <w:i/>
          <w:sz w:val="20"/>
        </w:rPr>
      </w:pPr>
    </w:p>
    <w:p w14:paraId="3D6DBA1F" w14:textId="77777777" w:rsidR="00F978D7" w:rsidRPr="00C60881" w:rsidRDefault="00F978D7" w:rsidP="00F978D7">
      <w:pPr>
        <w:jc w:val="center"/>
      </w:pPr>
      <w:r>
        <w:rPr>
          <w:rFonts w:ascii="Symbol" w:hAnsi="Symbol"/>
          <w:b/>
        </w:rPr>
        <w:sym w:font="Symbol" w:char="F0E3"/>
      </w:r>
      <w:r>
        <w:rPr>
          <w:rFonts w:ascii="Symbol" w:hAnsi="Symbol"/>
          <w:b/>
        </w:rPr>
        <w:t></w:t>
      </w:r>
      <w:r>
        <w:t>BIS 2024</w:t>
      </w:r>
    </w:p>
    <w:p w14:paraId="358A1C6A" w14:textId="77777777" w:rsidR="00F978D7" w:rsidRDefault="00F978D7" w:rsidP="00F978D7">
      <w:pPr>
        <w:tabs>
          <w:tab w:val="left" w:pos="2040"/>
          <w:tab w:val="center" w:pos="4730"/>
        </w:tabs>
        <w:jc w:val="center"/>
        <w:rPr>
          <w:b/>
          <w:bCs/>
        </w:rPr>
      </w:pPr>
      <w:r>
        <w:rPr>
          <w:b/>
          <w:bCs/>
        </w:rPr>
        <w:t>BUREAU OF INDIAN STANDARDS</w:t>
      </w:r>
    </w:p>
    <w:p w14:paraId="0E70F098" w14:textId="77777777" w:rsidR="00F978D7" w:rsidRDefault="00F978D7" w:rsidP="00F978D7">
      <w:pPr>
        <w:jc w:val="center"/>
      </w:pPr>
      <w:r>
        <w:t>MANAK BHAVAN, 9 BAHADUR SHAH ZAFAR MARG</w:t>
      </w:r>
    </w:p>
    <w:p w14:paraId="1DCAA1C8" w14:textId="77777777" w:rsidR="00F978D7" w:rsidRDefault="00F978D7" w:rsidP="00F978D7">
      <w:pPr>
        <w:jc w:val="center"/>
      </w:pPr>
      <w:r>
        <w:t>NEW DELHI 110002</w:t>
      </w:r>
    </w:p>
    <w:p w14:paraId="01AD2FBB" w14:textId="77777777" w:rsidR="00F978D7" w:rsidRDefault="00F978D7" w:rsidP="00F978D7">
      <w:pPr>
        <w:pStyle w:val="BodyText"/>
        <w:spacing w:before="2"/>
        <w:rPr>
          <w:i/>
          <w:sz w:val="22"/>
        </w:rPr>
      </w:pPr>
    </w:p>
    <w:p w14:paraId="6C0CC3A4" w14:textId="77777777" w:rsidR="00F978D7" w:rsidRDefault="00F978D7" w:rsidP="00F978D7">
      <w:pPr>
        <w:pStyle w:val="BodyText"/>
        <w:spacing w:before="2"/>
        <w:rPr>
          <w:i/>
          <w:sz w:val="22"/>
        </w:rPr>
      </w:pPr>
    </w:p>
    <w:p w14:paraId="40BA58F3" w14:textId="6A5D1E45" w:rsidR="00F978D7" w:rsidRDefault="00371296" w:rsidP="00F978D7">
      <w:pPr>
        <w:pStyle w:val="BodyText"/>
        <w:spacing w:before="2"/>
        <w:rPr>
          <w:b/>
          <w:bCs/>
        </w:rPr>
      </w:pPr>
      <w:r>
        <w:rPr>
          <w:b/>
        </w:rPr>
        <w:t xml:space="preserve">November </w:t>
      </w:r>
      <w:r w:rsidR="00F978D7" w:rsidRPr="001D1786">
        <w:rPr>
          <w:b/>
        </w:rPr>
        <w:t>2024</w:t>
      </w:r>
      <w:r w:rsidR="00F978D7">
        <w:t xml:space="preserve">         </w:t>
      </w:r>
      <w:r w:rsidR="00F978D7">
        <w:tab/>
      </w:r>
      <w:r w:rsidR="00F978D7">
        <w:tab/>
      </w:r>
      <w:r w:rsidR="00F978D7">
        <w:tab/>
      </w:r>
      <w:r w:rsidR="00F978D7">
        <w:tab/>
      </w:r>
      <w:r w:rsidR="00F978D7">
        <w:tab/>
      </w:r>
      <w:r w:rsidR="00F978D7">
        <w:tab/>
      </w:r>
      <w:r w:rsidR="00F978D7">
        <w:tab/>
      </w:r>
      <w:r w:rsidR="00F978D7">
        <w:tab/>
      </w:r>
      <w:r w:rsidR="00F978D7">
        <w:tab/>
      </w:r>
      <w:r w:rsidR="00F978D7">
        <w:rPr>
          <w:b/>
          <w:bCs/>
        </w:rPr>
        <w:t>Price Group</w:t>
      </w:r>
    </w:p>
    <w:p w14:paraId="47F3421C" w14:textId="77777777" w:rsidR="00F978D7" w:rsidRDefault="00F978D7" w:rsidP="00F978D7">
      <w:pPr>
        <w:pStyle w:val="BodyText"/>
        <w:rPr>
          <w:b/>
        </w:rPr>
      </w:pPr>
    </w:p>
    <w:p w14:paraId="5A3C1239" w14:textId="77777777" w:rsidR="00F978D7" w:rsidRDefault="00F978D7" w:rsidP="00F978D7">
      <w:pPr>
        <w:pStyle w:val="BodyText"/>
        <w:rPr>
          <w:b/>
        </w:rPr>
      </w:pPr>
    </w:p>
    <w:p w14:paraId="7089340E" w14:textId="77777777" w:rsidR="00F978D7" w:rsidRDefault="00F978D7" w:rsidP="00F978D7">
      <w:pPr>
        <w:pStyle w:val="BodyText"/>
        <w:rPr>
          <w:b/>
        </w:rPr>
      </w:pPr>
    </w:p>
    <w:p w14:paraId="1CE41A30" w14:textId="77777777" w:rsidR="00F978D7" w:rsidRDefault="00F978D7" w:rsidP="00F978D7">
      <w:pPr>
        <w:pStyle w:val="BodyText"/>
        <w:rPr>
          <w:b/>
        </w:rPr>
      </w:pPr>
    </w:p>
    <w:p w14:paraId="6166C25C" w14:textId="77777777" w:rsidR="00F978D7" w:rsidRDefault="00F978D7" w:rsidP="00F978D7">
      <w:pPr>
        <w:pStyle w:val="BodyText"/>
        <w:rPr>
          <w:b/>
        </w:rPr>
      </w:pPr>
    </w:p>
    <w:p w14:paraId="7F178B67" w14:textId="77777777" w:rsidR="00F978D7" w:rsidRDefault="00F978D7" w:rsidP="00F978D7">
      <w:pPr>
        <w:pStyle w:val="BodyText"/>
        <w:rPr>
          <w:b/>
        </w:rPr>
      </w:pPr>
    </w:p>
    <w:p w14:paraId="0B702E23" w14:textId="77777777" w:rsidR="00F978D7" w:rsidRDefault="00F978D7" w:rsidP="00F978D7">
      <w:pPr>
        <w:pStyle w:val="BodyText"/>
        <w:rPr>
          <w:b/>
        </w:rPr>
      </w:pPr>
    </w:p>
    <w:p w14:paraId="377B6966" w14:textId="77777777" w:rsidR="00F978D7" w:rsidRDefault="00F978D7" w:rsidP="00F978D7">
      <w:pPr>
        <w:pStyle w:val="BodyText"/>
        <w:rPr>
          <w:b/>
        </w:rPr>
      </w:pPr>
    </w:p>
    <w:p w14:paraId="755120D3" w14:textId="77777777" w:rsidR="00B00522" w:rsidRDefault="00B00522" w:rsidP="00F978D7">
      <w:pPr>
        <w:pStyle w:val="Heading2"/>
        <w:spacing w:before="173"/>
        <w:ind w:left="0"/>
        <w:jc w:val="left"/>
        <w:rPr>
          <w:color w:val="212529"/>
        </w:rPr>
      </w:pPr>
    </w:p>
    <w:p w14:paraId="4D93FDAE" w14:textId="0524F17E" w:rsidR="00F978D7" w:rsidRDefault="00F978D7" w:rsidP="00F978D7">
      <w:pPr>
        <w:pStyle w:val="Heading2"/>
        <w:spacing w:before="173"/>
        <w:ind w:left="0"/>
        <w:jc w:val="left"/>
        <w:rPr>
          <w:sz w:val="28"/>
          <w:szCs w:val="28"/>
        </w:rPr>
      </w:pPr>
      <w:r w:rsidRPr="00697A67">
        <w:rPr>
          <w:color w:val="212529"/>
        </w:rPr>
        <w:lastRenderedPageBreak/>
        <w:t xml:space="preserve">Software </w:t>
      </w:r>
      <w:r w:rsidR="00371296">
        <w:rPr>
          <w:color w:val="212529"/>
        </w:rPr>
        <w:t>a</w:t>
      </w:r>
      <w:r w:rsidRPr="00697A67">
        <w:rPr>
          <w:color w:val="212529"/>
        </w:rPr>
        <w:t>nd System</w:t>
      </w:r>
      <w:r w:rsidR="00371296">
        <w:rPr>
          <w:color w:val="212529"/>
        </w:rPr>
        <w:t>s</w:t>
      </w:r>
      <w:r w:rsidRPr="00697A67">
        <w:rPr>
          <w:color w:val="212529"/>
        </w:rPr>
        <w:t xml:space="preserve"> Engineering Sectional Committee</w:t>
      </w:r>
      <w:r>
        <w:rPr>
          <w:color w:val="212529"/>
        </w:rPr>
        <w:t>, LITD 14</w:t>
      </w:r>
    </w:p>
    <w:p w14:paraId="43B06D88" w14:textId="77777777" w:rsidR="002C120F" w:rsidRDefault="002C120F">
      <w:pPr>
        <w:pStyle w:val="BodyText"/>
        <w:rPr>
          <w:b/>
        </w:rPr>
      </w:pPr>
    </w:p>
    <w:p w14:paraId="657DBA88" w14:textId="77777777" w:rsidR="002C120F" w:rsidRPr="00F978D7" w:rsidRDefault="001152E9" w:rsidP="00F9426A">
      <w:pPr>
        <w:pStyle w:val="Heading2"/>
        <w:spacing w:before="173"/>
        <w:ind w:left="0"/>
        <w:jc w:val="left"/>
        <w:rPr>
          <w:b w:val="0"/>
          <w:bCs w:val="0"/>
          <w:color w:val="FF0000"/>
          <w:sz w:val="28"/>
          <w:szCs w:val="28"/>
        </w:rPr>
      </w:pPr>
      <w:r w:rsidRPr="00F978D7">
        <w:rPr>
          <w:b w:val="0"/>
          <w:bCs w:val="0"/>
          <w:sz w:val="28"/>
          <w:szCs w:val="28"/>
        </w:rPr>
        <w:t>NATIONAL</w:t>
      </w:r>
      <w:r w:rsidRPr="00F978D7">
        <w:rPr>
          <w:b w:val="0"/>
          <w:bCs w:val="0"/>
          <w:spacing w:val="-8"/>
          <w:sz w:val="28"/>
          <w:szCs w:val="28"/>
        </w:rPr>
        <w:t xml:space="preserve"> </w:t>
      </w:r>
      <w:r w:rsidRPr="00F978D7">
        <w:rPr>
          <w:b w:val="0"/>
          <w:bCs w:val="0"/>
          <w:sz w:val="28"/>
          <w:szCs w:val="28"/>
        </w:rPr>
        <w:t>FOREWORD</w:t>
      </w:r>
      <w:r w:rsidR="00F7426C" w:rsidRPr="00F978D7">
        <w:rPr>
          <w:b w:val="0"/>
          <w:bCs w:val="0"/>
          <w:sz w:val="28"/>
          <w:szCs w:val="28"/>
        </w:rPr>
        <w:t xml:space="preserve"> </w:t>
      </w:r>
    </w:p>
    <w:p w14:paraId="5FEC351D" w14:textId="77777777" w:rsidR="002C120F" w:rsidRDefault="002C120F">
      <w:pPr>
        <w:pStyle w:val="BodyText"/>
      </w:pPr>
    </w:p>
    <w:p w14:paraId="03BE7853" w14:textId="33662F75" w:rsidR="00085F12" w:rsidRDefault="001152E9" w:rsidP="00085F12">
      <w:pPr>
        <w:pStyle w:val="BodyText"/>
        <w:ind w:left="100" w:right="138"/>
        <w:jc w:val="both"/>
      </w:pPr>
      <w:r w:rsidRPr="00411724">
        <w:t>This</w:t>
      </w:r>
      <w:r w:rsidRPr="00411724">
        <w:rPr>
          <w:spacing w:val="1"/>
        </w:rPr>
        <w:t xml:space="preserve"> </w:t>
      </w:r>
      <w:r w:rsidRPr="00411724">
        <w:t>Indian</w:t>
      </w:r>
      <w:r w:rsidRPr="00411724">
        <w:rPr>
          <w:spacing w:val="1"/>
        </w:rPr>
        <w:t xml:space="preserve"> </w:t>
      </w:r>
      <w:r w:rsidRPr="00411724">
        <w:t>Standard</w:t>
      </w:r>
      <w:r w:rsidR="00085F12">
        <w:t xml:space="preserve"> </w:t>
      </w:r>
      <w:r w:rsidRPr="00411724">
        <w:t>which</w:t>
      </w:r>
      <w:r w:rsidRPr="00411724">
        <w:rPr>
          <w:spacing w:val="1"/>
        </w:rPr>
        <w:t xml:space="preserve"> </w:t>
      </w:r>
      <w:r w:rsidRPr="00411724">
        <w:t>is</w:t>
      </w:r>
      <w:r w:rsidRPr="00411724">
        <w:rPr>
          <w:spacing w:val="1"/>
        </w:rPr>
        <w:t xml:space="preserve"> </w:t>
      </w:r>
      <w:r w:rsidRPr="00411724">
        <w:t>identical</w:t>
      </w:r>
      <w:r w:rsidRPr="00411724">
        <w:rPr>
          <w:spacing w:val="1"/>
        </w:rPr>
        <w:t xml:space="preserve"> </w:t>
      </w:r>
      <w:r w:rsidRPr="00411724">
        <w:t>with</w:t>
      </w:r>
      <w:r w:rsidR="00085F12">
        <w:t xml:space="preserve"> ISO/IEC</w:t>
      </w:r>
      <w:r w:rsidR="00D73BDC" w:rsidRPr="00D73BDC">
        <w:t xml:space="preserve"> TS</w:t>
      </w:r>
      <w:r w:rsidR="00085F12">
        <w:t xml:space="preserve"> </w:t>
      </w:r>
      <w:r w:rsidR="00085F12" w:rsidRPr="00085F12">
        <w:t>30105-6</w:t>
      </w:r>
      <w:r w:rsidR="00371296">
        <w:t xml:space="preserve"> </w:t>
      </w:r>
      <w:r w:rsidR="00085F12" w:rsidRPr="00085F12">
        <w:t>:</w:t>
      </w:r>
      <w:r w:rsidR="00371296">
        <w:t xml:space="preserve"> </w:t>
      </w:r>
      <w:r w:rsidR="00085F12" w:rsidRPr="00085F12">
        <w:t>2021</w:t>
      </w:r>
      <w:r w:rsidR="009A4401" w:rsidRPr="009A4401">
        <w:t xml:space="preserve"> </w:t>
      </w:r>
      <w:r w:rsidR="009A4401">
        <w:t>‘</w:t>
      </w:r>
      <w:r w:rsidR="00085F12">
        <w:t>Information technology — IT Enabled Services-Business Process Outsourcing (ITES-BPO) lifecycle processes</w:t>
      </w:r>
    </w:p>
    <w:p w14:paraId="3D1AB303" w14:textId="44652561" w:rsidR="002C120F" w:rsidRDefault="00085F12" w:rsidP="00B00522">
      <w:pPr>
        <w:pStyle w:val="BodyText"/>
        <w:ind w:left="100" w:right="138"/>
        <w:jc w:val="both"/>
      </w:pPr>
      <w:r>
        <w:t>Part 6 Guidelines on risk management</w:t>
      </w:r>
      <w:r w:rsidR="009A4401">
        <w:t>’</w:t>
      </w:r>
      <w:r w:rsidR="00AE38F1" w:rsidRPr="00411724">
        <w:t xml:space="preserve"> issued by </w:t>
      </w:r>
      <w:r w:rsidR="00E95985" w:rsidRPr="00E95985">
        <w:t>International Organization for Standardization (ISO) and International Electrotechnical Commission (IEC) w</w:t>
      </w:r>
      <w:r w:rsidR="00F978D7">
        <w:t>as</w:t>
      </w:r>
      <w:r w:rsidR="00E95985">
        <w:t xml:space="preserve"> </w:t>
      </w:r>
      <w:r w:rsidR="001152E9" w:rsidRPr="00411724">
        <w:t>adopted by the Bureau of Indian</w:t>
      </w:r>
      <w:r w:rsidR="00AE38F1" w:rsidRPr="00411724">
        <w:t xml:space="preserve"> </w:t>
      </w:r>
      <w:r w:rsidR="001152E9" w:rsidRPr="00411724">
        <w:rPr>
          <w:spacing w:val="-57"/>
        </w:rPr>
        <w:t xml:space="preserve"> </w:t>
      </w:r>
      <w:r w:rsidR="001152E9" w:rsidRPr="00411724">
        <w:t xml:space="preserve">Standards on the recommendation of the </w:t>
      </w:r>
      <w:r w:rsidR="006C2E60" w:rsidRPr="006C2E60">
        <w:t xml:space="preserve">Software </w:t>
      </w:r>
      <w:r w:rsidR="00371296">
        <w:t>a</w:t>
      </w:r>
      <w:r w:rsidR="006C2E60" w:rsidRPr="006C2E60">
        <w:t>nd System</w:t>
      </w:r>
      <w:r w:rsidR="00371296">
        <w:t>s</w:t>
      </w:r>
      <w:r w:rsidR="006C2E60" w:rsidRPr="006C2E60">
        <w:t xml:space="preserve"> Engineering Sectional Committee</w:t>
      </w:r>
      <w:r w:rsidR="006C2E60">
        <w:t xml:space="preserve"> </w:t>
      </w:r>
      <w:r w:rsidR="001152E9" w:rsidRPr="00411724">
        <w:rPr>
          <w:spacing w:val="1"/>
        </w:rPr>
        <w:t xml:space="preserve"> </w:t>
      </w:r>
      <w:r w:rsidR="001152E9" w:rsidRPr="00411724">
        <w:t>and</w:t>
      </w:r>
      <w:r w:rsidR="001152E9" w:rsidRPr="00411724">
        <w:rPr>
          <w:spacing w:val="-1"/>
        </w:rPr>
        <w:t xml:space="preserve"> </w:t>
      </w:r>
      <w:r w:rsidR="001152E9" w:rsidRPr="00411724">
        <w:t>the approval of the</w:t>
      </w:r>
      <w:r w:rsidR="001152E9" w:rsidRPr="00411724">
        <w:rPr>
          <w:spacing w:val="-1"/>
        </w:rPr>
        <w:t xml:space="preserve"> </w:t>
      </w:r>
      <w:r w:rsidR="00AE38F1" w:rsidRPr="00411724">
        <w:rPr>
          <w:spacing w:val="-1"/>
        </w:rPr>
        <w:t xml:space="preserve">Electronics and Information Technology </w:t>
      </w:r>
      <w:r w:rsidR="001152E9" w:rsidRPr="00411724">
        <w:t>Division</w:t>
      </w:r>
      <w:r w:rsidR="001152E9" w:rsidRPr="00411724">
        <w:rPr>
          <w:spacing w:val="-1"/>
        </w:rPr>
        <w:t xml:space="preserve"> </w:t>
      </w:r>
      <w:r w:rsidR="001152E9" w:rsidRPr="00411724">
        <w:t>Council.</w:t>
      </w:r>
    </w:p>
    <w:p w14:paraId="60F7F870" w14:textId="77777777" w:rsidR="008D1A53" w:rsidRDefault="008D1A53" w:rsidP="00B00522">
      <w:pPr>
        <w:pStyle w:val="BodyText"/>
        <w:ind w:left="100" w:right="138"/>
        <w:jc w:val="both"/>
      </w:pPr>
    </w:p>
    <w:p w14:paraId="0A3632E5" w14:textId="77777777" w:rsidR="008D1A53" w:rsidRPr="008D1A53" w:rsidRDefault="008D1A53" w:rsidP="008D1A53">
      <w:pPr>
        <w:pStyle w:val="BodyText"/>
        <w:ind w:right="138"/>
      </w:pPr>
      <w:r w:rsidRPr="008D1A53">
        <w:t xml:space="preserve">This standard is published in different parts. Other parts are: </w:t>
      </w:r>
    </w:p>
    <w:p w14:paraId="5C4B3B67" w14:textId="518E6C35" w:rsidR="008D1A53" w:rsidRPr="008D1A53" w:rsidRDefault="008D1A53" w:rsidP="008D1A53">
      <w:pPr>
        <w:pStyle w:val="BodyText"/>
        <w:ind w:right="138"/>
      </w:pPr>
      <w:r w:rsidRPr="008D1A53">
        <w:t xml:space="preserve">Part </w:t>
      </w:r>
      <w:r w:rsidRPr="008D1A53">
        <w:t>1 Process</w:t>
      </w:r>
      <w:r w:rsidRPr="008D1A53">
        <w:t xml:space="preserve"> Reference Model (PRM)</w:t>
      </w:r>
    </w:p>
    <w:p w14:paraId="4D32D1CF" w14:textId="77777777" w:rsidR="008D1A53" w:rsidRPr="008D1A53" w:rsidRDefault="008D1A53" w:rsidP="008D1A53">
      <w:pPr>
        <w:pStyle w:val="BodyText"/>
        <w:ind w:right="138"/>
      </w:pPr>
      <w:r w:rsidRPr="008D1A53">
        <w:t xml:space="preserve">Part 2 Process Assessment Model (PAM) </w:t>
      </w:r>
    </w:p>
    <w:p w14:paraId="31A7C18D" w14:textId="7633DAD2" w:rsidR="008D1A53" w:rsidRPr="008D1A53" w:rsidRDefault="008D1A53" w:rsidP="008D1A53">
      <w:pPr>
        <w:pStyle w:val="BodyText"/>
        <w:ind w:right="138"/>
      </w:pPr>
      <w:r w:rsidRPr="008D1A53">
        <w:t xml:space="preserve">Part </w:t>
      </w:r>
      <w:r w:rsidRPr="008D1A53">
        <w:t>3 Measurement</w:t>
      </w:r>
      <w:r w:rsidRPr="008D1A53">
        <w:t xml:space="preserve"> Framework (MF) and Organization Maturity Model (OMM)</w:t>
      </w:r>
    </w:p>
    <w:p w14:paraId="0BB8FF6A" w14:textId="77777777" w:rsidR="008D1A53" w:rsidRPr="008D1A53" w:rsidRDefault="008D1A53" w:rsidP="008D1A53">
      <w:pPr>
        <w:pStyle w:val="BodyText"/>
        <w:ind w:right="138"/>
      </w:pPr>
      <w:r w:rsidRPr="008D1A53">
        <w:t>Part 4 Key Concepts</w:t>
      </w:r>
    </w:p>
    <w:p w14:paraId="532B3A08" w14:textId="77777777" w:rsidR="008D1A53" w:rsidRPr="008D1A53" w:rsidRDefault="008D1A53" w:rsidP="008D1A53">
      <w:pPr>
        <w:pStyle w:val="BodyText"/>
        <w:ind w:right="138"/>
      </w:pPr>
      <w:r w:rsidRPr="008D1A53">
        <w:t>Part 5 Guidelines</w:t>
      </w:r>
    </w:p>
    <w:p w14:paraId="03B42135" w14:textId="77777777" w:rsidR="008D1A53" w:rsidRPr="008D1A53" w:rsidRDefault="008D1A53" w:rsidP="008D1A53">
      <w:pPr>
        <w:pStyle w:val="BodyText"/>
        <w:ind w:right="138"/>
      </w:pPr>
      <w:r w:rsidRPr="008D1A53">
        <w:t>Part 7 Exemplar for maturity assessment</w:t>
      </w:r>
    </w:p>
    <w:p w14:paraId="306A9B5D" w14:textId="77777777" w:rsidR="008D1A53" w:rsidRPr="008D1A53" w:rsidRDefault="008D1A53" w:rsidP="008D1A53">
      <w:pPr>
        <w:pStyle w:val="BodyText"/>
        <w:ind w:right="138"/>
      </w:pPr>
      <w:r w:rsidRPr="008D1A53">
        <w:t>Part 8 Continual performance improvement (CPI) of ITES-BPO</w:t>
      </w:r>
    </w:p>
    <w:p w14:paraId="04D6FF9A" w14:textId="6CD46102" w:rsidR="008D1A53" w:rsidRPr="008D1A53" w:rsidRDefault="008D1A53" w:rsidP="008D1A53">
      <w:pPr>
        <w:pStyle w:val="BodyText"/>
        <w:ind w:right="138"/>
      </w:pPr>
      <w:r w:rsidRPr="008D1A53">
        <w:t>Part 9 Guidelines on extending process capability assessment for digital transformation</w:t>
      </w:r>
    </w:p>
    <w:p w14:paraId="19194EF1" w14:textId="77777777" w:rsidR="008D1A53" w:rsidRPr="00411724" w:rsidRDefault="008D1A53" w:rsidP="00B00522">
      <w:pPr>
        <w:pStyle w:val="BodyText"/>
        <w:ind w:left="100" w:right="138"/>
        <w:jc w:val="both"/>
      </w:pPr>
    </w:p>
    <w:p w14:paraId="24D529DC" w14:textId="02717699" w:rsidR="002C120F" w:rsidRPr="00884094" w:rsidRDefault="001152E9">
      <w:pPr>
        <w:pStyle w:val="BodyText"/>
        <w:ind w:left="100" w:right="151"/>
        <w:jc w:val="both"/>
      </w:pPr>
      <w:r w:rsidRPr="00884094">
        <w:t xml:space="preserve">The text of ISO Standard </w:t>
      </w:r>
      <w:r w:rsidR="00F978D7" w:rsidRPr="00F978D7">
        <w:rPr>
          <w:iCs/>
        </w:rPr>
        <w:t>has been</w:t>
      </w:r>
      <w:r w:rsidRPr="00884094">
        <w:rPr>
          <w:i/>
        </w:rPr>
        <w:t xml:space="preserve"> </w:t>
      </w:r>
      <w:r w:rsidRPr="00884094">
        <w:t>approved as suitable for publication as an Indian Standard</w:t>
      </w:r>
      <w:r w:rsidRPr="00884094">
        <w:rPr>
          <w:spacing w:val="1"/>
        </w:rPr>
        <w:t xml:space="preserve"> </w:t>
      </w:r>
      <w:r w:rsidRPr="00884094">
        <w:t>without</w:t>
      </w:r>
      <w:r w:rsidRPr="00884094">
        <w:rPr>
          <w:spacing w:val="1"/>
        </w:rPr>
        <w:t xml:space="preserve"> </w:t>
      </w:r>
      <w:r w:rsidRPr="00884094">
        <w:t>deviations.</w:t>
      </w:r>
      <w:r w:rsidRPr="00884094">
        <w:rPr>
          <w:spacing w:val="1"/>
        </w:rPr>
        <w:t xml:space="preserve"> </w:t>
      </w:r>
      <w:r w:rsidRPr="00884094">
        <w:t>Certain</w:t>
      </w:r>
      <w:r w:rsidRPr="00884094">
        <w:rPr>
          <w:spacing w:val="1"/>
        </w:rPr>
        <w:t xml:space="preserve"> </w:t>
      </w:r>
      <w:r w:rsidRPr="00884094">
        <w:t>conventions</w:t>
      </w:r>
      <w:r w:rsidRPr="00884094">
        <w:rPr>
          <w:spacing w:val="1"/>
        </w:rPr>
        <w:t xml:space="preserve"> </w:t>
      </w:r>
      <w:r w:rsidRPr="00884094">
        <w:t>are</w:t>
      </w:r>
      <w:r w:rsidRPr="00884094">
        <w:rPr>
          <w:spacing w:val="1"/>
        </w:rPr>
        <w:t xml:space="preserve"> </w:t>
      </w:r>
      <w:r w:rsidRPr="00884094">
        <w:t>however</w:t>
      </w:r>
      <w:r w:rsidRPr="00884094">
        <w:rPr>
          <w:spacing w:val="1"/>
        </w:rPr>
        <w:t xml:space="preserve"> </w:t>
      </w:r>
      <w:r w:rsidRPr="00884094">
        <w:t>not</w:t>
      </w:r>
      <w:r w:rsidRPr="00884094">
        <w:rPr>
          <w:spacing w:val="1"/>
        </w:rPr>
        <w:t xml:space="preserve"> </w:t>
      </w:r>
      <w:r w:rsidRPr="00884094">
        <w:t>identical</w:t>
      </w:r>
      <w:r w:rsidRPr="00884094">
        <w:rPr>
          <w:spacing w:val="1"/>
        </w:rPr>
        <w:t xml:space="preserve"> </w:t>
      </w:r>
      <w:r w:rsidRPr="00884094">
        <w:t>to</w:t>
      </w:r>
      <w:r w:rsidRPr="00884094">
        <w:rPr>
          <w:spacing w:val="1"/>
        </w:rPr>
        <w:t xml:space="preserve"> </w:t>
      </w:r>
      <w:r w:rsidRPr="00884094">
        <w:t>those</w:t>
      </w:r>
      <w:r w:rsidRPr="00884094">
        <w:rPr>
          <w:spacing w:val="1"/>
        </w:rPr>
        <w:t xml:space="preserve"> </w:t>
      </w:r>
      <w:r w:rsidRPr="00884094">
        <w:t>used</w:t>
      </w:r>
      <w:r w:rsidRPr="00884094">
        <w:rPr>
          <w:spacing w:val="1"/>
        </w:rPr>
        <w:t xml:space="preserve"> </w:t>
      </w:r>
      <w:r w:rsidRPr="00884094">
        <w:t>in</w:t>
      </w:r>
      <w:r w:rsidRPr="00884094">
        <w:rPr>
          <w:spacing w:val="1"/>
        </w:rPr>
        <w:t xml:space="preserve"> </w:t>
      </w:r>
      <w:r w:rsidRPr="00884094">
        <w:t>Indian</w:t>
      </w:r>
      <w:r w:rsidRPr="00884094">
        <w:rPr>
          <w:spacing w:val="1"/>
        </w:rPr>
        <w:t xml:space="preserve"> </w:t>
      </w:r>
      <w:r w:rsidRPr="00884094">
        <w:t>Standards. Attention is particularly drawn to the following:</w:t>
      </w:r>
    </w:p>
    <w:p w14:paraId="20B3A66E" w14:textId="77777777" w:rsidR="002C120F" w:rsidRPr="00884094" w:rsidRDefault="002C120F">
      <w:pPr>
        <w:pStyle w:val="BodyText"/>
      </w:pPr>
    </w:p>
    <w:p w14:paraId="270484B5" w14:textId="77777777" w:rsidR="002C120F" w:rsidRPr="00884094" w:rsidRDefault="001152E9">
      <w:pPr>
        <w:pStyle w:val="ListParagraph"/>
        <w:numPr>
          <w:ilvl w:val="0"/>
          <w:numId w:val="1"/>
        </w:numPr>
        <w:tabs>
          <w:tab w:val="left" w:pos="437"/>
        </w:tabs>
        <w:ind w:right="151" w:hanging="360"/>
        <w:rPr>
          <w:sz w:val="24"/>
          <w:szCs w:val="24"/>
        </w:rPr>
      </w:pPr>
      <w:r w:rsidRPr="00884094">
        <w:rPr>
          <w:sz w:val="24"/>
          <w:szCs w:val="24"/>
        </w:rPr>
        <w:t>Wherever</w:t>
      </w:r>
      <w:r w:rsidRPr="00884094">
        <w:rPr>
          <w:spacing w:val="13"/>
          <w:sz w:val="24"/>
          <w:szCs w:val="24"/>
        </w:rPr>
        <w:t xml:space="preserve"> </w:t>
      </w:r>
      <w:r w:rsidRPr="00884094">
        <w:rPr>
          <w:sz w:val="24"/>
          <w:szCs w:val="24"/>
        </w:rPr>
        <w:t>the</w:t>
      </w:r>
      <w:r w:rsidRPr="00884094">
        <w:rPr>
          <w:spacing w:val="13"/>
          <w:sz w:val="24"/>
          <w:szCs w:val="24"/>
        </w:rPr>
        <w:t xml:space="preserve"> </w:t>
      </w:r>
      <w:r w:rsidRPr="00884094">
        <w:rPr>
          <w:sz w:val="24"/>
          <w:szCs w:val="24"/>
        </w:rPr>
        <w:t>words</w:t>
      </w:r>
      <w:r w:rsidRPr="00884094">
        <w:rPr>
          <w:spacing w:val="14"/>
          <w:sz w:val="24"/>
          <w:szCs w:val="24"/>
        </w:rPr>
        <w:t xml:space="preserve"> </w:t>
      </w:r>
      <w:r w:rsidRPr="00884094">
        <w:rPr>
          <w:sz w:val="24"/>
          <w:szCs w:val="24"/>
        </w:rPr>
        <w:t>‘International</w:t>
      </w:r>
      <w:r w:rsidRPr="00884094">
        <w:rPr>
          <w:spacing w:val="13"/>
          <w:sz w:val="24"/>
          <w:szCs w:val="24"/>
        </w:rPr>
        <w:t xml:space="preserve"> </w:t>
      </w:r>
      <w:r w:rsidRPr="00884094">
        <w:rPr>
          <w:sz w:val="24"/>
          <w:szCs w:val="24"/>
        </w:rPr>
        <w:t>Standard’</w:t>
      </w:r>
      <w:r w:rsidRPr="00884094">
        <w:rPr>
          <w:spacing w:val="-1"/>
          <w:sz w:val="24"/>
          <w:szCs w:val="24"/>
        </w:rPr>
        <w:t xml:space="preserve"> </w:t>
      </w:r>
      <w:r w:rsidRPr="00884094">
        <w:rPr>
          <w:sz w:val="24"/>
          <w:szCs w:val="24"/>
        </w:rPr>
        <w:t>appear</w:t>
      </w:r>
      <w:r w:rsidRPr="00884094">
        <w:rPr>
          <w:spacing w:val="-2"/>
          <w:sz w:val="24"/>
          <w:szCs w:val="24"/>
        </w:rPr>
        <w:t xml:space="preserve"> </w:t>
      </w:r>
      <w:r w:rsidRPr="00884094">
        <w:rPr>
          <w:sz w:val="24"/>
          <w:szCs w:val="24"/>
        </w:rPr>
        <w:t>referring</w:t>
      </w:r>
      <w:r w:rsidRPr="00884094">
        <w:rPr>
          <w:spacing w:val="-1"/>
          <w:sz w:val="24"/>
          <w:szCs w:val="24"/>
        </w:rPr>
        <w:t xml:space="preserve"> </w:t>
      </w:r>
      <w:r w:rsidRPr="00884094">
        <w:rPr>
          <w:sz w:val="24"/>
          <w:szCs w:val="24"/>
        </w:rPr>
        <w:t>to</w:t>
      </w:r>
      <w:r w:rsidRPr="00884094">
        <w:rPr>
          <w:spacing w:val="-1"/>
          <w:sz w:val="24"/>
          <w:szCs w:val="24"/>
        </w:rPr>
        <w:t xml:space="preserve"> </w:t>
      </w:r>
      <w:r w:rsidRPr="00884094">
        <w:rPr>
          <w:sz w:val="24"/>
          <w:szCs w:val="24"/>
        </w:rPr>
        <w:t>this</w:t>
      </w:r>
      <w:r w:rsidRPr="00884094">
        <w:rPr>
          <w:spacing w:val="-2"/>
          <w:sz w:val="24"/>
          <w:szCs w:val="24"/>
        </w:rPr>
        <w:t xml:space="preserve"> </w:t>
      </w:r>
      <w:r w:rsidRPr="00884094">
        <w:rPr>
          <w:sz w:val="24"/>
          <w:szCs w:val="24"/>
        </w:rPr>
        <w:t>standard,</w:t>
      </w:r>
      <w:r w:rsidRPr="00884094">
        <w:rPr>
          <w:spacing w:val="-1"/>
          <w:sz w:val="24"/>
          <w:szCs w:val="24"/>
        </w:rPr>
        <w:t xml:space="preserve"> </w:t>
      </w:r>
      <w:r w:rsidRPr="00884094">
        <w:rPr>
          <w:sz w:val="24"/>
          <w:szCs w:val="24"/>
        </w:rPr>
        <w:t>they</w:t>
      </w:r>
      <w:r w:rsidRPr="00884094">
        <w:rPr>
          <w:spacing w:val="-1"/>
          <w:sz w:val="24"/>
          <w:szCs w:val="24"/>
        </w:rPr>
        <w:t xml:space="preserve"> </w:t>
      </w:r>
      <w:r w:rsidRPr="00884094">
        <w:rPr>
          <w:sz w:val="24"/>
          <w:szCs w:val="24"/>
        </w:rPr>
        <w:t>should</w:t>
      </w:r>
      <w:r w:rsidRPr="00884094">
        <w:rPr>
          <w:spacing w:val="-2"/>
          <w:sz w:val="24"/>
          <w:szCs w:val="24"/>
        </w:rPr>
        <w:t xml:space="preserve"> </w:t>
      </w:r>
      <w:r w:rsidRPr="00884094">
        <w:rPr>
          <w:sz w:val="24"/>
          <w:szCs w:val="24"/>
        </w:rPr>
        <w:t>be</w:t>
      </w:r>
      <w:r w:rsidRPr="00884094">
        <w:rPr>
          <w:spacing w:val="-57"/>
          <w:sz w:val="24"/>
          <w:szCs w:val="24"/>
        </w:rPr>
        <w:t xml:space="preserve"> </w:t>
      </w:r>
      <w:r w:rsidRPr="00884094">
        <w:rPr>
          <w:sz w:val="24"/>
          <w:szCs w:val="24"/>
        </w:rPr>
        <w:t>read as ‘Indian Standard’.</w:t>
      </w:r>
    </w:p>
    <w:p w14:paraId="7363D6D0" w14:textId="77777777" w:rsidR="002C120F" w:rsidRPr="00884094" w:rsidRDefault="001152E9">
      <w:pPr>
        <w:pStyle w:val="ListParagraph"/>
        <w:numPr>
          <w:ilvl w:val="0"/>
          <w:numId w:val="1"/>
        </w:numPr>
        <w:tabs>
          <w:tab w:val="left" w:pos="450"/>
        </w:tabs>
        <w:spacing w:before="27"/>
        <w:ind w:hanging="360"/>
        <w:rPr>
          <w:sz w:val="24"/>
          <w:szCs w:val="24"/>
        </w:rPr>
      </w:pPr>
      <w:r w:rsidRPr="00884094">
        <w:rPr>
          <w:sz w:val="24"/>
          <w:szCs w:val="24"/>
        </w:rPr>
        <w:t>Comma</w:t>
      </w:r>
      <w:r w:rsidRPr="00884094">
        <w:rPr>
          <w:spacing w:val="13"/>
          <w:sz w:val="24"/>
          <w:szCs w:val="24"/>
        </w:rPr>
        <w:t xml:space="preserve"> </w:t>
      </w:r>
      <w:r w:rsidRPr="00884094">
        <w:rPr>
          <w:sz w:val="24"/>
          <w:szCs w:val="24"/>
        </w:rPr>
        <w:t>(,)</w:t>
      </w:r>
      <w:r w:rsidRPr="00884094">
        <w:rPr>
          <w:spacing w:val="14"/>
          <w:sz w:val="24"/>
          <w:szCs w:val="24"/>
        </w:rPr>
        <w:t xml:space="preserve"> </w:t>
      </w:r>
      <w:r w:rsidRPr="00884094">
        <w:rPr>
          <w:sz w:val="24"/>
          <w:szCs w:val="24"/>
        </w:rPr>
        <w:t>has</w:t>
      </w:r>
      <w:r w:rsidRPr="00884094">
        <w:rPr>
          <w:spacing w:val="14"/>
          <w:sz w:val="24"/>
          <w:szCs w:val="24"/>
        </w:rPr>
        <w:t xml:space="preserve"> </w:t>
      </w:r>
      <w:r w:rsidRPr="00884094">
        <w:rPr>
          <w:sz w:val="24"/>
          <w:szCs w:val="24"/>
        </w:rPr>
        <w:t>been</w:t>
      </w:r>
      <w:r w:rsidRPr="00884094">
        <w:rPr>
          <w:spacing w:val="13"/>
          <w:sz w:val="24"/>
          <w:szCs w:val="24"/>
        </w:rPr>
        <w:t xml:space="preserve"> </w:t>
      </w:r>
      <w:r w:rsidRPr="00884094">
        <w:rPr>
          <w:sz w:val="24"/>
          <w:szCs w:val="24"/>
        </w:rPr>
        <w:t>used</w:t>
      </w:r>
      <w:r w:rsidRPr="00884094">
        <w:rPr>
          <w:spacing w:val="14"/>
          <w:sz w:val="24"/>
          <w:szCs w:val="24"/>
        </w:rPr>
        <w:t xml:space="preserve"> </w:t>
      </w:r>
      <w:r w:rsidRPr="00884094">
        <w:rPr>
          <w:sz w:val="24"/>
          <w:szCs w:val="24"/>
        </w:rPr>
        <w:t>as</w:t>
      </w:r>
      <w:r w:rsidRPr="00884094">
        <w:rPr>
          <w:spacing w:val="14"/>
          <w:sz w:val="24"/>
          <w:szCs w:val="24"/>
        </w:rPr>
        <w:t xml:space="preserve"> </w:t>
      </w:r>
      <w:r w:rsidRPr="00884094">
        <w:rPr>
          <w:sz w:val="24"/>
          <w:szCs w:val="24"/>
        </w:rPr>
        <w:t>a</w:t>
      </w:r>
      <w:r w:rsidRPr="00884094">
        <w:rPr>
          <w:spacing w:val="-2"/>
          <w:sz w:val="24"/>
          <w:szCs w:val="24"/>
        </w:rPr>
        <w:t xml:space="preserve"> </w:t>
      </w:r>
      <w:r w:rsidRPr="00884094">
        <w:rPr>
          <w:sz w:val="24"/>
          <w:szCs w:val="24"/>
        </w:rPr>
        <w:t>decimal</w:t>
      </w:r>
      <w:r w:rsidRPr="00884094">
        <w:rPr>
          <w:spacing w:val="-1"/>
          <w:sz w:val="24"/>
          <w:szCs w:val="24"/>
        </w:rPr>
        <w:t xml:space="preserve"> </w:t>
      </w:r>
      <w:r w:rsidRPr="00884094">
        <w:rPr>
          <w:sz w:val="24"/>
          <w:szCs w:val="24"/>
        </w:rPr>
        <w:t>marker</w:t>
      </w:r>
      <w:r w:rsidRPr="00884094">
        <w:rPr>
          <w:spacing w:val="-1"/>
          <w:sz w:val="24"/>
          <w:szCs w:val="24"/>
        </w:rPr>
        <w:t xml:space="preserve"> </w:t>
      </w:r>
      <w:r w:rsidRPr="00884094">
        <w:rPr>
          <w:sz w:val="24"/>
          <w:szCs w:val="24"/>
        </w:rPr>
        <w:t>while</w:t>
      </w:r>
      <w:r w:rsidRPr="00884094">
        <w:rPr>
          <w:spacing w:val="-1"/>
          <w:sz w:val="24"/>
          <w:szCs w:val="24"/>
        </w:rPr>
        <w:t xml:space="preserve"> </w:t>
      </w:r>
      <w:r w:rsidRPr="00884094">
        <w:rPr>
          <w:sz w:val="24"/>
          <w:szCs w:val="24"/>
        </w:rPr>
        <w:t>in</w:t>
      </w:r>
      <w:r w:rsidRPr="00884094">
        <w:rPr>
          <w:spacing w:val="-1"/>
          <w:sz w:val="24"/>
          <w:szCs w:val="24"/>
        </w:rPr>
        <w:t xml:space="preserve"> </w:t>
      </w:r>
      <w:r w:rsidRPr="00884094">
        <w:rPr>
          <w:sz w:val="24"/>
          <w:szCs w:val="24"/>
        </w:rPr>
        <w:t>Indian</w:t>
      </w:r>
      <w:r w:rsidRPr="00884094">
        <w:rPr>
          <w:spacing w:val="-1"/>
          <w:sz w:val="24"/>
          <w:szCs w:val="24"/>
        </w:rPr>
        <w:t xml:space="preserve"> </w:t>
      </w:r>
      <w:r w:rsidRPr="00884094">
        <w:rPr>
          <w:sz w:val="24"/>
          <w:szCs w:val="24"/>
        </w:rPr>
        <w:t>Standards,</w:t>
      </w:r>
      <w:r w:rsidRPr="00884094">
        <w:rPr>
          <w:spacing w:val="-1"/>
          <w:sz w:val="24"/>
          <w:szCs w:val="24"/>
        </w:rPr>
        <w:t xml:space="preserve"> </w:t>
      </w:r>
      <w:r w:rsidRPr="00884094">
        <w:rPr>
          <w:sz w:val="24"/>
          <w:szCs w:val="24"/>
        </w:rPr>
        <w:t>the</w:t>
      </w:r>
      <w:r w:rsidRPr="00884094">
        <w:rPr>
          <w:spacing w:val="-1"/>
          <w:sz w:val="24"/>
          <w:szCs w:val="24"/>
        </w:rPr>
        <w:t xml:space="preserve"> </w:t>
      </w:r>
      <w:r w:rsidRPr="00884094">
        <w:rPr>
          <w:sz w:val="24"/>
          <w:szCs w:val="24"/>
        </w:rPr>
        <w:t>current</w:t>
      </w:r>
      <w:r w:rsidRPr="00884094">
        <w:rPr>
          <w:spacing w:val="-1"/>
          <w:sz w:val="24"/>
          <w:szCs w:val="24"/>
        </w:rPr>
        <w:t xml:space="preserve"> </w:t>
      </w:r>
      <w:r w:rsidRPr="00884094">
        <w:rPr>
          <w:sz w:val="24"/>
          <w:szCs w:val="24"/>
        </w:rPr>
        <w:t>practice</w:t>
      </w:r>
      <w:r w:rsidRPr="00884094">
        <w:rPr>
          <w:spacing w:val="-57"/>
          <w:sz w:val="24"/>
          <w:szCs w:val="24"/>
        </w:rPr>
        <w:t xml:space="preserve"> </w:t>
      </w:r>
      <w:r w:rsidRPr="00884094">
        <w:rPr>
          <w:sz w:val="24"/>
          <w:szCs w:val="24"/>
        </w:rPr>
        <w:t>is</w:t>
      </w:r>
      <w:r w:rsidRPr="00884094">
        <w:rPr>
          <w:spacing w:val="-1"/>
          <w:sz w:val="24"/>
          <w:szCs w:val="24"/>
        </w:rPr>
        <w:t xml:space="preserve"> </w:t>
      </w:r>
      <w:r w:rsidRPr="00884094">
        <w:rPr>
          <w:sz w:val="24"/>
          <w:szCs w:val="24"/>
        </w:rPr>
        <w:t>to use a point (.) as</w:t>
      </w:r>
      <w:r w:rsidRPr="00884094">
        <w:rPr>
          <w:spacing w:val="-1"/>
          <w:sz w:val="24"/>
          <w:szCs w:val="24"/>
        </w:rPr>
        <w:t xml:space="preserve"> </w:t>
      </w:r>
      <w:r w:rsidRPr="00884094">
        <w:rPr>
          <w:sz w:val="24"/>
          <w:szCs w:val="24"/>
        </w:rPr>
        <w:t>the decimal marker.</w:t>
      </w:r>
    </w:p>
    <w:p w14:paraId="5834D934" w14:textId="77777777" w:rsidR="00517868" w:rsidRPr="00884094" w:rsidRDefault="00517868" w:rsidP="00517868">
      <w:pPr>
        <w:pStyle w:val="ListParagraph"/>
        <w:tabs>
          <w:tab w:val="left" w:pos="450"/>
        </w:tabs>
        <w:spacing w:before="27"/>
        <w:ind w:firstLine="0"/>
        <w:rPr>
          <w:sz w:val="24"/>
          <w:szCs w:val="24"/>
        </w:rPr>
      </w:pPr>
    </w:p>
    <w:p w14:paraId="7E7D929A" w14:textId="77777777" w:rsidR="00517868" w:rsidRPr="00884094" w:rsidRDefault="00517868" w:rsidP="00517868">
      <w:pPr>
        <w:tabs>
          <w:tab w:val="left" w:pos="450"/>
        </w:tabs>
        <w:spacing w:before="27"/>
        <w:jc w:val="both"/>
        <w:rPr>
          <w:sz w:val="24"/>
          <w:szCs w:val="24"/>
        </w:rPr>
      </w:pPr>
      <w:r w:rsidRPr="00884094">
        <w:rPr>
          <w:sz w:val="24"/>
          <w:szCs w:val="24"/>
        </w:rPr>
        <w:t>In this adopted standard, reference appears to certain International Standards for which Indian Standards also exist. The corresponding Indian Standards, which are to be substituted in their places, are listed below along with their degree of equivalence for editions indicated. For dated references, only the edition cited applies. For undated references, the latest edition of the referenced document (including any amendments) applies:</w:t>
      </w:r>
    </w:p>
    <w:p w14:paraId="326E21AC" w14:textId="77777777" w:rsidR="00517868" w:rsidRPr="00884094" w:rsidRDefault="00517868" w:rsidP="00517868">
      <w:pPr>
        <w:tabs>
          <w:tab w:val="left" w:pos="450"/>
        </w:tabs>
        <w:spacing w:before="27"/>
        <w:jc w:val="both"/>
        <w:rPr>
          <w:sz w:val="24"/>
          <w:szCs w:val="24"/>
        </w:rPr>
      </w:pPr>
    </w:p>
    <w:p w14:paraId="460E838C" w14:textId="77777777" w:rsidR="00517868" w:rsidRPr="008D1A53" w:rsidRDefault="00517868" w:rsidP="00517868">
      <w:pPr>
        <w:tabs>
          <w:tab w:val="left" w:pos="450"/>
        </w:tabs>
        <w:spacing w:before="27"/>
        <w:jc w:val="both"/>
        <w:rPr>
          <w:bCs/>
          <w:i/>
          <w:iCs/>
          <w:sz w:val="24"/>
          <w:szCs w:val="24"/>
        </w:rPr>
      </w:pPr>
      <w:r w:rsidRPr="008D1A53">
        <w:rPr>
          <w:bCs/>
          <w:i/>
          <w:iCs/>
          <w:sz w:val="24"/>
          <w:szCs w:val="24"/>
        </w:rPr>
        <w:t xml:space="preserve">  </w:t>
      </w:r>
    </w:p>
    <w:tbl>
      <w:tblPr>
        <w:tblW w:w="9356" w:type="dxa"/>
        <w:tblInd w:w="137" w:type="dxa"/>
        <w:tblLayout w:type="fixed"/>
        <w:tblLook w:val="0400" w:firstRow="0" w:lastRow="0" w:firstColumn="0" w:lastColumn="0" w:noHBand="0" w:noVBand="1"/>
      </w:tblPr>
      <w:tblGrid>
        <w:gridCol w:w="3390"/>
        <w:gridCol w:w="3615"/>
        <w:gridCol w:w="2351"/>
      </w:tblGrid>
      <w:tr w:rsidR="00517868" w:rsidRPr="008D1A53" w14:paraId="2C6CA708" w14:textId="77777777" w:rsidTr="00B00522">
        <w:trPr>
          <w:trHeight w:val="683"/>
        </w:trPr>
        <w:tc>
          <w:tcPr>
            <w:tcW w:w="3390" w:type="dxa"/>
            <w:tcMar>
              <w:top w:w="0" w:type="dxa"/>
              <w:left w:w="108" w:type="dxa"/>
              <w:bottom w:w="0" w:type="dxa"/>
              <w:right w:w="108" w:type="dxa"/>
            </w:tcMar>
          </w:tcPr>
          <w:p w14:paraId="35D97750" w14:textId="4155835D" w:rsidR="00517868" w:rsidRPr="008D1A53" w:rsidRDefault="00517868" w:rsidP="000120D5">
            <w:pPr>
              <w:jc w:val="center"/>
              <w:rPr>
                <w:bCs/>
                <w:i/>
                <w:iCs/>
                <w:sz w:val="24"/>
                <w:szCs w:val="24"/>
              </w:rPr>
            </w:pPr>
            <w:r w:rsidRPr="008D1A53">
              <w:rPr>
                <w:bCs/>
                <w:i/>
                <w:iCs/>
                <w:sz w:val="24"/>
                <w:szCs w:val="24"/>
              </w:rPr>
              <w:t>Internat</w:t>
            </w:r>
            <w:r w:rsidRPr="008D1A53">
              <w:rPr>
                <w:bCs/>
                <w:i/>
                <w:iCs/>
                <w:color w:val="000000"/>
                <w:sz w:val="24"/>
                <w:szCs w:val="24"/>
              </w:rPr>
              <w:t>ional Standard</w:t>
            </w:r>
          </w:p>
          <w:p w14:paraId="72C30FA7" w14:textId="77777777" w:rsidR="00517868" w:rsidRPr="008D1A53" w:rsidRDefault="00517868" w:rsidP="000120D5">
            <w:pPr>
              <w:jc w:val="center"/>
              <w:rPr>
                <w:bCs/>
                <w:i/>
                <w:iCs/>
                <w:sz w:val="24"/>
                <w:szCs w:val="24"/>
              </w:rPr>
            </w:pPr>
          </w:p>
        </w:tc>
        <w:tc>
          <w:tcPr>
            <w:tcW w:w="3615" w:type="dxa"/>
            <w:tcMar>
              <w:top w:w="0" w:type="dxa"/>
              <w:left w:w="108" w:type="dxa"/>
              <w:bottom w:w="0" w:type="dxa"/>
              <w:right w:w="108" w:type="dxa"/>
            </w:tcMar>
          </w:tcPr>
          <w:p w14:paraId="403C6078" w14:textId="77777777" w:rsidR="00517868" w:rsidRPr="008D1A53" w:rsidRDefault="00517868" w:rsidP="000120D5">
            <w:pPr>
              <w:jc w:val="center"/>
              <w:rPr>
                <w:bCs/>
                <w:i/>
                <w:iCs/>
                <w:sz w:val="24"/>
                <w:szCs w:val="24"/>
              </w:rPr>
            </w:pPr>
            <w:r w:rsidRPr="008D1A53">
              <w:rPr>
                <w:bCs/>
                <w:i/>
                <w:iCs/>
                <w:color w:val="000000"/>
                <w:sz w:val="24"/>
                <w:szCs w:val="24"/>
              </w:rPr>
              <w:t>Corresponding Indian Standard</w:t>
            </w:r>
          </w:p>
        </w:tc>
        <w:tc>
          <w:tcPr>
            <w:tcW w:w="2351" w:type="dxa"/>
            <w:tcMar>
              <w:top w:w="0" w:type="dxa"/>
              <w:left w:w="108" w:type="dxa"/>
              <w:bottom w:w="0" w:type="dxa"/>
              <w:right w:w="108" w:type="dxa"/>
            </w:tcMar>
          </w:tcPr>
          <w:p w14:paraId="674DBD86" w14:textId="77777777" w:rsidR="00517868" w:rsidRPr="008D1A53" w:rsidRDefault="00517868" w:rsidP="000120D5">
            <w:pPr>
              <w:jc w:val="center"/>
              <w:rPr>
                <w:bCs/>
                <w:i/>
                <w:iCs/>
                <w:sz w:val="24"/>
                <w:szCs w:val="24"/>
              </w:rPr>
            </w:pPr>
            <w:r w:rsidRPr="008D1A53">
              <w:rPr>
                <w:bCs/>
                <w:i/>
                <w:iCs/>
                <w:color w:val="000000"/>
                <w:sz w:val="24"/>
                <w:szCs w:val="24"/>
              </w:rPr>
              <w:t>Degree of Equivalence</w:t>
            </w:r>
          </w:p>
        </w:tc>
      </w:tr>
      <w:tr w:rsidR="00517868" w:rsidRPr="00884094" w14:paraId="1D20AAAA" w14:textId="77777777" w:rsidTr="00FE5045">
        <w:trPr>
          <w:trHeight w:val="540"/>
        </w:trPr>
        <w:tc>
          <w:tcPr>
            <w:tcW w:w="3390" w:type="dxa"/>
            <w:tcMar>
              <w:top w:w="0" w:type="dxa"/>
              <w:left w:w="108" w:type="dxa"/>
              <w:bottom w:w="0" w:type="dxa"/>
              <w:right w:w="108" w:type="dxa"/>
            </w:tcMar>
          </w:tcPr>
          <w:p w14:paraId="5F50A037" w14:textId="7757D546" w:rsidR="00517868" w:rsidRPr="00884094" w:rsidRDefault="000741B2" w:rsidP="000120D5">
            <w:pPr>
              <w:jc w:val="both"/>
              <w:rPr>
                <w:bCs/>
                <w:color w:val="000000"/>
                <w:sz w:val="24"/>
                <w:szCs w:val="24"/>
              </w:rPr>
            </w:pPr>
            <w:r w:rsidRPr="00884094">
              <w:rPr>
                <w:bCs/>
                <w:color w:val="000000"/>
                <w:sz w:val="24"/>
                <w:szCs w:val="24"/>
              </w:rPr>
              <w:t>ISO Guide 73 Risk management — Vocabulary</w:t>
            </w:r>
          </w:p>
        </w:tc>
        <w:tc>
          <w:tcPr>
            <w:tcW w:w="3615" w:type="dxa"/>
            <w:tcMar>
              <w:top w:w="0" w:type="dxa"/>
              <w:left w:w="108" w:type="dxa"/>
              <w:bottom w:w="0" w:type="dxa"/>
              <w:right w:w="108" w:type="dxa"/>
            </w:tcMar>
          </w:tcPr>
          <w:p w14:paraId="331F54AB" w14:textId="5B7629D0" w:rsidR="00517868" w:rsidRPr="00884094" w:rsidRDefault="00B00522" w:rsidP="00F80E49">
            <w:pPr>
              <w:jc w:val="both"/>
              <w:rPr>
                <w:bCs/>
                <w:color w:val="000000"/>
                <w:sz w:val="24"/>
                <w:szCs w:val="24"/>
              </w:rPr>
            </w:pPr>
            <w:r w:rsidRPr="00B00522">
              <w:rPr>
                <w:color w:val="000000"/>
                <w:sz w:val="24"/>
                <w:szCs w:val="24"/>
              </w:rPr>
              <w:t>IS/ISO 31073 : 2022</w:t>
            </w:r>
            <w:r>
              <w:rPr>
                <w:b/>
                <w:bCs/>
                <w:color w:val="000000"/>
                <w:sz w:val="24"/>
                <w:szCs w:val="24"/>
              </w:rPr>
              <w:t xml:space="preserve"> </w:t>
            </w:r>
            <w:r w:rsidR="00F80E49" w:rsidRPr="00884094">
              <w:rPr>
                <w:bCs/>
                <w:color w:val="000000"/>
                <w:sz w:val="24"/>
                <w:szCs w:val="24"/>
              </w:rPr>
              <w:t>Risk Management</w:t>
            </w:r>
            <w:r>
              <w:rPr>
                <w:bCs/>
                <w:color w:val="000000"/>
                <w:sz w:val="24"/>
                <w:szCs w:val="24"/>
              </w:rPr>
              <w:t xml:space="preserve"> -</w:t>
            </w:r>
            <w:r w:rsidR="00F80E49" w:rsidRPr="00884094">
              <w:rPr>
                <w:bCs/>
                <w:color w:val="000000"/>
                <w:sz w:val="24"/>
                <w:szCs w:val="24"/>
              </w:rPr>
              <w:t xml:space="preserve"> Vocabulary </w:t>
            </w:r>
          </w:p>
        </w:tc>
        <w:tc>
          <w:tcPr>
            <w:tcW w:w="2351" w:type="dxa"/>
            <w:tcMar>
              <w:top w:w="0" w:type="dxa"/>
              <w:left w:w="108" w:type="dxa"/>
              <w:bottom w:w="0" w:type="dxa"/>
              <w:right w:w="108" w:type="dxa"/>
            </w:tcMar>
          </w:tcPr>
          <w:p w14:paraId="53FFF32B" w14:textId="3F821232" w:rsidR="00517868" w:rsidRPr="00884094" w:rsidRDefault="0088628F" w:rsidP="000120D5">
            <w:pPr>
              <w:jc w:val="center"/>
              <w:rPr>
                <w:color w:val="000000"/>
                <w:sz w:val="24"/>
                <w:szCs w:val="24"/>
              </w:rPr>
            </w:pPr>
            <w:r w:rsidRPr="00884094">
              <w:rPr>
                <w:color w:val="000000"/>
                <w:sz w:val="24"/>
                <w:szCs w:val="24"/>
              </w:rPr>
              <w:t>Identical</w:t>
            </w:r>
            <w:r w:rsidR="00B00522">
              <w:rPr>
                <w:color w:val="000000"/>
                <w:sz w:val="24"/>
                <w:szCs w:val="24"/>
              </w:rPr>
              <w:t xml:space="preserve"> with ISO 31073 : 2022 </w:t>
            </w:r>
          </w:p>
        </w:tc>
      </w:tr>
      <w:tr w:rsidR="00890A66" w:rsidRPr="00884094" w14:paraId="1B4F7EE7" w14:textId="77777777" w:rsidTr="00FE5045">
        <w:trPr>
          <w:trHeight w:val="540"/>
        </w:trPr>
        <w:tc>
          <w:tcPr>
            <w:tcW w:w="3390" w:type="dxa"/>
            <w:tcMar>
              <w:top w:w="0" w:type="dxa"/>
              <w:left w:w="108" w:type="dxa"/>
              <w:bottom w:w="0" w:type="dxa"/>
              <w:right w:w="108" w:type="dxa"/>
            </w:tcMar>
          </w:tcPr>
          <w:p w14:paraId="094000C5" w14:textId="0E453453" w:rsidR="00890A66" w:rsidRPr="00884094" w:rsidRDefault="00064554" w:rsidP="00B00522">
            <w:pPr>
              <w:rPr>
                <w:sz w:val="24"/>
                <w:szCs w:val="24"/>
              </w:rPr>
            </w:pPr>
            <w:r w:rsidRPr="00884094">
              <w:rPr>
                <w:sz w:val="24"/>
                <w:szCs w:val="24"/>
              </w:rPr>
              <w:t>ISO 31000</w:t>
            </w:r>
            <w:r w:rsidR="00B00522">
              <w:rPr>
                <w:sz w:val="24"/>
                <w:szCs w:val="24"/>
              </w:rPr>
              <w:t xml:space="preserve"> </w:t>
            </w:r>
            <w:r w:rsidRPr="00884094">
              <w:rPr>
                <w:sz w:val="24"/>
                <w:szCs w:val="24"/>
              </w:rPr>
              <w:t>:</w:t>
            </w:r>
            <w:r w:rsidR="00B00522">
              <w:rPr>
                <w:sz w:val="24"/>
                <w:szCs w:val="24"/>
              </w:rPr>
              <w:t xml:space="preserve"> </w:t>
            </w:r>
            <w:r w:rsidRPr="00884094">
              <w:rPr>
                <w:sz w:val="24"/>
                <w:szCs w:val="24"/>
              </w:rPr>
              <w:t>2018</w:t>
            </w:r>
            <w:r w:rsidR="00B00522">
              <w:rPr>
                <w:sz w:val="24"/>
                <w:szCs w:val="24"/>
              </w:rPr>
              <w:t xml:space="preserve"> </w:t>
            </w:r>
            <w:r w:rsidRPr="00884094">
              <w:rPr>
                <w:sz w:val="24"/>
                <w:szCs w:val="24"/>
              </w:rPr>
              <w:t>Risk management — Guidelines</w:t>
            </w:r>
          </w:p>
        </w:tc>
        <w:tc>
          <w:tcPr>
            <w:tcW w:w="3615" w:type="dxa"/>
            <w:tcMar>
              <w:top w:w="0" w:type="dxa"/>
              <w:left w:w="108" w:type="dxa"/>
              <w:bottom w:w="0" w:type="dxa"/>
              <w:right w:w="108" w:type="dxa"/>
            </w:tcMar>
          </w:tcPr>
          <w:p w14:paraId="776A4434" w14:textId="77777777" w:rsidR="00064554" w:rsidRPr="00884094" w:rsidRDefault="00064554" w:rsidP="00064554">
            <w:pPr>
              <w:jc w:val="both"/>
              <w:rPr>
                <w:color w:val="000000"/>
                <w:sz w:val="24"/>
                <w:szCs w:val="24"/>
              </w:rPr>
            </w:pPr>
            <w:r w:rsidRPr="00884094">
              <w:rPr>
                <w:color w:val="000000"/>
                <w:sz w:val="24"/>
                <w:szCs w:val="24"/>
              </w:rPr>
              <w:t xml:space="preserve">IS/ISO 31000 : 2018 </w:t>
            </w:r>
          </w:p>
          <w:p w14:paraId="42C77966" w14:textId="77777777" w:rsidR="00890A66" w:rsidRPr="00884094" w:rsidRDefault="00064554" w:rsidP="00064554">
            <w:pPr>
              <w:jc w:val="both"/>
              <w:rPr>
                <w:color w:val="000000"/>
                <w:sz w:val="24"/>
                <w:szCs w:val="24"/>
                <w:highlight w:val="white"/>
              </w:rPr>
            </w:pPr>
            <w:r w:rsidRPr="00884094">
              <w:rPr>
                <w:color w:val="000000"/>
                <w:sz w:val="24"/>
                <w:szCs w:val="24"/>
              </w:rPr>
              <w:t xml:space="preserve">Risk management - Guidelines </w:t>
            </w:r>
            <w:r w:rsidRPr="00B00522">
              <w:rPr>
                <w:i/>
                <w:iCs/>
                <w:color w:val="000000"/>
                <w:sz w:val="24"/>
                <w:szCs w:val="24"/>
              </w:rPr>
              <w:t>(First Revision)</w:t>
            </w:r>
          </w:p>
        </w:tc>
        <w:tc>
          <w:tcPr>
            <w:tcW w:w="2351" w:type="dxa"/>
            <w:tcMar>
              <w:top w:w="0" w:type="dxa"/>
              <w:left w:w="108" w:type="dxa"/>
              <w:bottom w:w="0" w:type="dxa"/>
              <w:right w:w="108" w:type="dxa"/>
            </w:tcMar>
          </w:tcPr>
          <w:p w14:paraId="7989174B" w14:textId="77777777" w:rsidR="00890A66" w:rsidRPr="00884094" w:rsidRDefault="00C92AB5" w:rsidP="000120D5">
            <w:pPr>
              <w:jc w:val="center"/>
              <w:rPr>
                <w:color w:val="000000"/>
                <w:sz w:val="24"/>
                <w:szCs w:val="24"/>
              </w:rPr>
            </w:pPr>
            <w:r w:rsidRPr="00884094">
              <w:rPr>
                <w:color w:val="000000"/>
                <w:sz w:val="24"/>
                <w:szCs w:val="24"/>
              </w:rPr>
              <w:t>Identical</w:t>
            </w:r>
          </w:p>
        </w:tc>
      </w:tr>
    </w:tbl>
    <w:p w14:paraId="53C411B3" w14:textId="77777777" w:rsidR="002C120F" w:rsidRPr="00884094" w:rsidRDefault="002C120F">
      <w:pPr>
        <w:pStyle w:val="BodyText"/>
        <w:spacing w:before="6"/>
      </w:pPr>
    </w:p>
    <w:p w14:paraId="10840C7D" w14:textId="77777777" w:rsidR="00EF35EF" w:rsidRPr="00884094" w:rsidRDefault="00EF35EF" w:rsidP="00EF35EF">
      <w:pPr>
        <w:pStyle w:val="BodyText"/>
        <w:ind w:left="100" w:right="140"/>
        <w:jc w:val="both"/>
      </w:pPr>
    </w:p>
    <w:sectPr w:rsidR="00EF35EF" w:rsidRPr="00884094">
      <w:headerReference w:type="default" r:id="rId7"/>
      <w:pgSz w:w="12240" w:h="15840"/>
      <w:pgMar w:top="2080" w:right="1300" w:bottom="280" w:left="1340" w:header="10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2B9E5" w14:textId="77777777" w:rsidR="00CC624E" w:rsidRDefault="00CC624E">
      <w:r>
        <w:separator/>
      </w:r>
    </w:p>
  </w:endnote>
  <w:endnote w:type="continuationSeparator" w:id="0">
    <w:p w14:paraId="516E19A5" w14:textId="77777777" w:rsidR="00CC624E" w:rsidRDefault="00CC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Kokila">
    <w:altName w:val="Arial"/>
    <w:charset w:val="00"/>
    <w:family w:val="swiss"/>
    <w:pitch w:val="variable"/>
    <w:sig w:usb0="00008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6CB63" w14:textId="77777777" w:rsidR="00CC624E" w:rsidRDefault="00CC624E">
      <w:r>
        <w:separator/>
      </w:r>
    </w:p>
  </w:footnote>
  <w:footnote w:type="continuationSeparator" w:id="0">
    <w:p w14:paraId="0E4909D5" w14:textId="77777777" w:rsidR="00CC624E" w:rsidRDefault="00CC6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4F504" w14:textId="77777777" w:rsidR="002C120F" w:rsidRDefault="006326D3">
    <w:pPr>
      <w:pStyle w:val="BodyText"/>
      <w:spacing w:line="14" w:lineRule="auto"/>
      <w:rPr>
        <w:sz w:val="20"/>
      </w:rPr>
    </w:pPr>
    <w:r>
      <w:rPr>
        <w:noProof/>
        <w:lang w:val="en-IN" w:eastAsia="en-IN" w:bidi="hi-IN"/>
      </w:rPr>
      <mc:AlternateContent>
        <mc:Choice Requires="wps">
          <w:drawing>
            <wp:anchor distT="0" distB="0" distL="114300" distR="114300" simplePos="0" relativeHeight="487495680" behindDoc="1" locked="0" layoutInCell="1" allowOverlap="1" wp14:anchorId="34403F72" wp14:editId="1FCEC18C">
              <wp:simplePos x="0" y="0"/>
              <wp:positionH relativeFrom="page">
                <wp:posOffset>4486275</wp:posOffset>
              </wp:positionH>
              <wp:positionV relativeFrom="page">
                <wp:posOffset>628650</wp:posOffset>
              </wp:positionV>
              <wp:extent cx="3067050" cy="72009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341A8" w14:textId="77777777" w:rsidR="003B4D6B" w:rsidRPr="00F978D7" w:rsidRDefault="00EA491D">
                          <w:pPr>
                            <w:spacing w:before="10"/>
                            <w:ind w:left="691" w:right="18" w:hanging="672"/>
                            <w:jc w:val="right"/>
                            <w:rPr>
                              <w:b/>
                              <w:spacing w:val="-57"/>
                              <w:sz w:val="24"/>
                            </w:rPr>
                          </w:pPr>
                          <w:r w:rsidRPr="00F978D7">
                            <w:rPr>
                              <w:b/>
                              <w:sz w:val="24"/>
                            </w:rPr>
                            <w:t>Doc No. : LITD 14</w:t>
                          </w:r>
                          <w:r w:rsidR="001152E9" w:rsidRPr="00F978D7">
                            <w:rPr>
                              <w:b/>
                              <w:sz w:val="24"/>
                            </w:rPr>
                            <w:t xml:space="preserve"> (</w:t>
                          </w:r>
                          <w:r w:rsidR="00F261F8" w:rsidRPr="00F978D7">
                            <w:rPr>
                              <w:b/>
                              <w:sz w:val="24"/>
                            </w:rPr>
                            <w:t>25193</w:t>
                          </w:r>
                          <w:r w:rsidR="001152E9" w:rsidRPr="00F978D7">
                            <w:rPr>
                              <w:b/>
                              <w:sz w:val="24"/>
                            </w:rPr>
                            <w:t>)</w:t>
                          </w:r>
                          <w:r w:rsidR="001152E9" w:rsidRPr="00F978D7">
                            <w:rPr>
                              <w:b/>
                              <w:spacing w:val="-57"/>
                              <w:sz w:val="24"/>
                            </w:rPr>
                            <w:t xml:space="preserve"> </w:t>
                          </w:r>
                        </w:p>
                        <w:p w14:paraId="094A817B" w14:textId="4B9C7782" w:rsidR="00884652" w:rsidRPr="00F978D7" w:rsidRDefault="00EA491D" w:rsidP="0046132F">
                          <w:pPr>
                            <w:ind w:right="67"/>
                            <w:jc w:val="right"/>
                            <w:rPr>
                              <w:b/>
                              <w:sz w:val="24"/>
                            </w:rPr>
                          </w:pPr>
                          <w:r w:rsidRPr="00F978D7">
                            <w:rPr>
                              <w:b/>
                              <w:sz w:val="24"/>
                            </w:rPr>
                            <w:t xml:space="preserve">             </w:t>
                          </w:r>
                          <w:r w:rsidR="0046132F" w:rsidRPr="00F978D7">
                            <w:rPr>
                              <w:b/>
                              <w:sz w:val="24"/>
                            </w:rPr>
                            <w:t xml:space="preserve">     </w:t>
                          </w:r>
                          <w:r w:rsidR="007F184A" w:rsidRPr="00F978D7">
                            <w:rPr>
                              <w:b/>
                              <w:sz w:val="24"/>
                            </w:rPr>
                            <w:t xml:space="preserve"> ISO/IEC</w:t>
                          </w:r>
                          <w:r w:rsidR="000D4B2D" w:rsidRPr="00F978D7">
                            <w:t xml:space="preserve"> </w:t>
                          </w:r>
                          <w:r w:rsidR="000D4B2D" w:rsidRPr="00F978D7">
                            <w:rPr>
                              <w:b/>
                              <w:sz w:val="24"/>
                            </w:rPr>
                            <w:t>TS</w:t>
                          </w:r>
                          <w:r w:rsidR="007F184A" w:rsidRPr="00F978D7">
                            <w:rPr>
                              <w:b/>
                              <w:sz w:val="24"/>
                            </w:rPr>
                            <w:t xml:space="preserve"> 30105-6</w:t>
                          </w:r>
                          <w:r w:rsidR="00371296">
                            <w:rPr>
                              <w:b/>
                              <w:sz w:val="24"/>
                            </w:rPr>
                            <w:t xml:space="preserve"> </w:t>
                          </w:r>
                          <w:r w:rsidR="007F184A" w:rsidRPr="00F978D7">
                            <w:rPr>
                              <w:b/>
                              <w:sz w:val="24"/>
                            </w:rPr>
                            <w:t>:</w:t>
                          </w:r>
                          <w:r w:rsidR="00371296">
                            <w:rPr>
                              <w:b/>
                              <w:sz w:val="24"/>
                            </w:rPr>
                            <w:t xml:space="preserve"> </w:t>
                          </w:r>
                          <w:r w:rsidR="00F978D7" w:rsidRPr="00F978D7">
                            <w:rPr>
                              <w:b/>
                              <w:sz w:val="24"/>
                            </w:rPr>
                            <w:t>2021</w:t>
                          </w:r>
                        </w:p>
                        <w:p w14:paraId="0A560F0D" w14:textId="77777777" w:rsidR="00B91B1D" w:rsidRDefault="00B91B1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3F72" id="_x0000_t202" coordsize="21600,21600" o:spt="202" path="m,l,21600r21600,l21600,xe">
              <v:stroke joinstyle="miter"/>
              <v:path gradientshapeok="t" o:connecttype="rect"/>
            </v:shapetype>
            <v:shape id="Text Box 1" o:spid="_x0000_s1026" type="#_x0000_t202" style="position:absolute;margin-left:353.25pt;margin-top:49.5pt;width:241.5pt;height:56.7pt;z-index:-1582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4lA1QEAAJEDAAAOAAAAZHJzL2Uyb0RvYy54bWysU9tu2zAMfR+wfxD0vtjpsHYz4hRdiw4D&#10;ugvQ7QNoWYqF2aJGKbGzrx8lx+kub8NeBJqkjs45pDfX09CLg6Zg0dVyvSql0E5ha92ull+/3L94&#10;LUWI4Fro0elaHnWQ19vnzzajr/QFdti3mgSDuFCNvpZdjL4qiqA6PUBYodeOiwZpgMiftCtagpHR&#10;h764KMvLYkRqPaHSIXD2bi7KbcY3Rqv4yZigo+hrydxiPimfTTqL7QaqHYHvrDrRgH9gMYB1/OgZ&#10;6g4iiD3Zv6AGqwgDmrhSOBRojFU6a2A16/IPNY8deJ21sDnBn20K/w9WfTw8+s8k4vQWJx5gFhH8&#10;A6pvQTi87cDt9A0Rjp2Glh9eJ8uK0YfqdDVZHaqQQJrxA7Y8ZNhHzECToSG5wjoFo/MAjmfT9RSF&#10;4uTL8vKqfMUlxbUrnumbPJUCquW2pxDfaRxECmpJPNSMDoeHEBMbqJaW9JjDe9v3ebC9+y3BjSmT&#10;2SfCM/U4NRN3JxUNtkfWQTjvCe81Bx3SDylG3pFahu97IC1F/96xF2mhloCWoFkCcIqv1jJKMYe3&#10;cV68vSe76xh5dtvhDftlbJbyxOLEk+eeFZ52NC3Wr9+56+lP2v4EAAD//wMAUEsDBBQABgAIAAAA&#10;IQCGi6EP4AAAAAsBAAAPAAAAZHJzL2Rvd25yZXYueG1sTI/BTsMwDIbvSLxDZCRuLGkFZS1NpwnB&#10;CQnRlQPHtMnaaI1Tmmwrb493gqPtT7+/v9wsbmQnMwfrUUKyEsAMdl5b7CV8Nq93a2AhKtRq9Ggk&#10;/JgAm+r6qlSF9meszWkXe0YhGAolYYhxKjgP3WCcCis/GaTb3s9ORRrnnutZnSncjTwVIuNOWaQP&#10;g5rM82C6w+7oJGy/sH6x3+/tR72vbdPkAt+yg5S3N8v2CVg0S/yD4aJP6lCRU+uPqAMbJTyK7IFQ&#10;CXlOnS5Ass5p00pIk/QeeFXy/x2qXwAAAP//AwBQSwECLQAUAAYACAAAACEAtoM4kv4AAADhAQAA&#10;EwAAAAAAAAAAAAAAAAAAAAAAW0NvbnRlbnRfVHlwZXNdLnhtbFBLAQItABQABgAIAAAAIQA4/SH/&#10;1gAAAJQBAAALAAAAAAAAAAAAAAAAAC8BAABfcmVscy8ucmVsc1BLAQItABQABgAIAAAAIQDmW4lA&#10;1QEAAJEDAAAOAAAAAAAAAAAAAAAAAC4CAABkcnMvZTJvRG9jLnhtbFBLAQItABQABgAIAAAAIQCG&#10;i6EP4AAAAAsBAAAPAAAAAAAAAAAAAAAAAC8EAABkcnMvZG93bnJldi54bWxQSwUGAAAAAAQABADz&#10;AAAAPAUAAAAA&#10;" filled="f" stroked="f">
              <v:textbox inset="0,0,0,0">
                <w:txbxContent>
                  <w:p w14:paraId="019341A8" w14:textId="77777777" w:rsidR="003B4D6B" w:rsidRPr="00F978D7" w:rsidRDefault="00EA491D">
                    <w:pPr>
                      <w:spacing w:before="10"/>
                      <w:ind w:left="691" w:right="18" w:hanging="672"/>
                      <w:jc w:val="right"/>
                      <w:rPr>
                        <w:b/>
                        <w:spacing w:val="-57"/>
                        <w:sz w:val="24"/>
                      </w:rPr>
                    </w:pPr>
                    <w:r w:rsidRPr="00F978D7">
                      <w:rPr>
                        <w:b/>
                        <w:sz w:val="24"/>
                      </w:rPr>
                      <w:t>Doc No. : LITD 14</w:t>
                    </w:r>
                    <w:r w:rsidR="001152E9" w:rsidRPr="00F978D7">
                      <w:rPr>
                        <w:b/>
                        <w:sz w:val="24"/>
                      </w:rPr>
                      <w:t xml:space="preserve"> (</w:t>
                    </w:r>
                    <w:r w:rsidR="00F261F8" w:rsidRPr="00F978D7">
                      <w:rPr>
                        <w:b/>
                        <w:sz w:val="24"/>
                      </w:rPr>
                      <w:t>25193</w:t>
                    </w:r>
                    <w:r w:rsidR="001152E9" w:rsidRPr="00F978D7">
                      <w:rPr>
                        <w:b/>
                        <w:sz w:val="24"/>
                      </w:rPr>
                      <w:t>)</w:t>
                    </w:r>
                    <w:r w:rsidR="001152E9" w:rsidRPr="00F978D7">
                      <w:rPr>
                        <w:b/>
                        <w:spacing w:val="-57"/>
                        <w:sz w:val="24"/>
                      </w:rPr>
                      <w:t xml:space="preserve"> </w:t>
                    </w:r>
                  </w:p>
                  <w:p w14:paraId="094A817B" w14:textId="4B9C7782" w:rsidR="00884652" w:rsidRPr="00F978D7" w:rsidRDefault="00EA491D" w:rsidP="0046132F">
                    <w:pPr>
                      <w:ind w:right="67"/>
                      <w:jc w:val="right"/>
                      <w:rPr>
                        <w:b/>
                        <w:sz w:val="24"/>
                      </w:rPr>
                    </w:pPr>
                    <w:r w:rsidRPr="00F978D7">
                      <w:rPr>
                        <w:b/>
                        <w:sz w:val="24"/>
                      </w:rPr>
                      <w:t xml:space="preserve">             </w:t>
                    </w:r>
                    <w:r w:rsidR="0046132F" w:rsidRPr="00F978D7">
                      <w:rPr>
                        <w:b/>
                        <w:sz w:val="24"/>
                      </w:rPr>
                      <w:t xml:space="preserve">     </w:t>
                    </w:r>
                    <w:r w:rsidR="007F184A" w:rsidRPr="00F978D7">
                      <w:rPr>
                        <w:b/>
                        <w:sz w:val="24"/>
                      </w:rPr>
                      <w:t xml:space="preserve"> ISO/IEC</w:t>
                    </w:r>
                    <w:r w:rsidR="000D4B2D" w:rsidRPr="00F978D7">
                      <w:t xml:space="preserve"> </w:t>
                    </w:r>
                    <w:r w:rsidR="000D4B2D" w:rsidRPr="00F978D7">
                      <w:rPr>
                        <w:b/>
                        <w:sz w:val="24"/>
                      </w:rPr>
                      <w:t>TS</w:t>
                    </w:r>
                    <w:r w:rsidR="007F184A" w:rsidRPr="00F978D7">
                      <w:rPr>
                        <w:b/>
                        <w:sz w:val="24"/>
                      </w:rPr>
                      <w:t xml:space="preserve"> 30105-6</w:t>
                    </w:r>
                    <w:r w:rsidR="00371296">
                      <w:rPr>
                        <w:b/>
                        <w:sz w:val="24"/>
                      </w:rPr>
                      <w:t xml:space="preserve"> </w:t>
                    </w:r>
                    <w:r w:rsidR="007F184A" w:rsidRPr="00F978D7">
                      <w:rPr>
                        <w:b/>
                        <w:sz w:val="24"/>
                      </w:rPr>
                      <w:t>:</w:t>
                    </w:r>
                    <w:r w:rsidR="00371296">
                      <w:rPr>
                        <w:b/>
                        <w:sz w:val="24"/>
                      </w:rPr>
                      <w:t xml:space="preserve"> </w:t>
                    </w:r>
                    <w:r w:rsidR="00F978D7" w:rsidRPr="00F978D7">
                      <w:rPr>
                        <w:b/>
                        <w:sz w:val="24"/>
                      </w:rPr>
                      <w:t>2021</w:t>
                    </w:r>
                  </w:p>
                  <w:p w14:paraId="0A560F0D" w14:textId="77777777" w:rsidR="00B91B1D" w:rsidRDefault="00B91B1D"/>
                </w:txbxContent>
              </v:textbox>
              <w10:wrap anchorx="page" anchory="page"/>
            </v:shape>
          </w:pict>
        </mc:Fallback>
      </mc:AlternateContent>
    </w:r>
    <w:r w:rsidR="004C1331">
      <w:rPr>
        <w:noProof/>
        <w:lang w:val="en-IN" w:eastAsia="en-IN" w:bidi="hi-IN"/>
      </w:rPr>
      <mc:AlternateContent>
        <mc:Choice Requires="wps">
          <w:drawing>
            <wp:anchor distT="0" distB="0" distL="114300" distR="114300" simplePos="0" relativeHeight="487495168" behindDoc="1" locked="0" layoutInCell="1" allowOverlap="1" wp14:anchorId="59E3D620" wp14:editId="149A614B">
              <wp:simplePos x="0" y="0"/>
              <wp:positionH relativeFrom="page">
                <wp:posOffset>6807200</wp:posOffset>
              </wp:positionH>
              <wp:positionV relativeFrom="page">
                <wp:posOffset>793750</wp:posOffset>
              </wp:positionV>
              <wp:extent cx="508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9E507" id="Line 2" o:spid="_x0000_s1026" style="position:absolute;z-index:-1582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pt,62.5pt" to="540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lGGQIAAEAEAAAOAAAAZHJzL2Uyb0RvYy54bWysU02P2yAQvVfqf0DcE3/Um81acVaVnfSS&#10;diPt9gcQwDEqBgQkTlT1v3fASbS7vVRVfcADMzzezLxZPJ56iY7cOqFVhbNpihFXVDOh9hX+/rKe&#10;zDFynihGpFa8wmfu8OPy44fFYEqe605Lxi0CEOXKwVS4896USeJox3viptpwBc5W25542Np9wiwZ&#10;AL2XSZ6ms2TQlhmrKXcOTpvRiZcRv2059U9t67hHssLAzcfVxnUX1mS5IOXeEtMJeqFB/oFFT4SC&#10;R29QDfEEHaz4A6oX1GqnWz+luk902wrKYw6QTZa+y+a5I4bHXKA4ztzK5P4fLP123FokWIVzjBTp&#10;oUUboTjKQ2UG40oIqNXWhtzoST2bjaY/HFK67oja88jw5WzgWhZuJG+uhI0zgL8bvmoGMeTgdSzT&#10;qbV9gIQCoFPsxvnWDX7yiMLhXTpPoWX06klIeb1mrPNfuO5RMCosgXGEJceN84EGKa8h4RWl10LK&#10;2Gqp0ABc83uADi6npWDBGzd2v6ulRUcS1BK/mNS7sADdENeNcRFh1JHVB8XiMx0nbHWxPRFytIGW&#10;VOEhSBGIXqxRJz8f0ofVfDUvJkU+W02KtGkmn9d1MZmts/u75lNT1032K3DOirITjHEVaF81mxV/&#10;p4nL9Ixqu6n2VqDkLXqsJJC9/iPp2OPQ1lEgO83OW3vtPcg0Bl9GKszB6z3Yrwd/+RsAAP//AwBQ&#10;SwMEFAAGAAgAAAAhALQOZN7dAAAADQEAAA8AAABkcnMvZG93bnJldi54bWxMT9FKw0AQfBf8h2MF&#10;3+ydAW2IuRRRSlF8aSv4us1tc6m5uzR3bePfuwWhvs3sDLMz5Wx0nTjSENvgNdxPFAjydTCtbzR8&#10;rud3OYiY0BvsgicNPxRhVl1flViYcPJLOq5SIzjExwI12JT6QspYW3IYJ6Enz9o2DA4T06GRZsAT&#10;h7tOZko9Soet5w8We3qxVH+vDk4Dvi6W6SvP3qftm/3Yref7hc33Wt/ejM9PIBKN6WKGc32uDhV3&#10;2oSDN1F0zNU04zGJUfbA4GxRuWK0+TvJqpT/V1S/AAAA//8DAFBLAQItABQABgAIAAAAIQC2gziS&#10;/gAAAOEBAAATAAAAAAAAAAAAAAAAAAAAAABbQ29udGVudF9UeXBlc10ueG1sUEsBAi0AFAAGAAgA&#10;AAAhADj9If/WAAAAlAEAAAsAAAAAAAAAAAAAAAAALwEAAF9yZWxzLy5yZWxzUEsBAi0AFAAGAAgA&#10;AAAhAHOqGUYZAgAAQAQAAA4AAAAAAAAAAAAAAAAALgIAAGRycy9lMm9Eb2MueG1sUEsBAi0AFAAG&#10;AAgAAAAhALQOZN7dAAAADQEAAA8AAAAAAAAAAAAAAAAAcwQAAGRycy9kb3ducmV2LnhtbFBLBQYA&#10;AAAABAAEAPMAAAB9BQAAAAA=&#10;" strokeweight="1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F124A"/>
    <w:multiLevelType w:val="hybridMultilevel"/>
    <w:tmpl w:val="947A7480"/>
    <w:lvl w:ilvl="0" w:tplc="49AE1DE8">
      <w:start w:val="1"/>
      <w:numFmt w:val="lowerLetter"/>
      <w:lvlText w:val="%1)"/>
      <w:lvlJc w:val="left"/>
      <w:pPr>
        <w:ind w:left="720" w:hanging="360"/>
      </w:pPr>
      <w:rPr>
        <w:rFonts w:ascii="Times New Roman" w:eastAsia="Times New Roman" w:hAnsi="Times New Roman" w:cs="Times New Roman" w:hint="default"/>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78D756F"/>
    <w:multiLevelType w:val="hybridMultilevel"/>
    <w:tmpl w:val="F3022762"/>
    <w:lvl w:ilvl="0" w:tplc="49AE1DE8">
      <w:start w:val="1"/>
      <w:numFmt w:val="lowerLetter"/>
      <w:lvlText w:val="%1)"/>
      <w:lvlJc w:val="left"/>
      <w:pPr>
        <w:ind w:left="460" w:hanging="337"/>
      </w:pPr>
      <w:rPr>
        <w:rFonts w:ascii="Times New Roman" w:eastAsia="Times New Roman" w:hAnsi="Times New Roman" w:cs="Times New Roman" w:hint="default"/>
        <w:w w:val="100"/>
        <w:sz w:val="24"/>
        <w:szCs w:val="24"/>
        <w:lang w:val="en-US" w:eastAsia="en-US" w:bidi="ar-SA"/>
      </w:rPr>
    </w:lvl>
    <w:lvl w:ilvl="1" w:tplc="8E0243AC">
      <w:numFmt w:val="bullet"/>
      <w:lvlText w:val="•"/>
      <w:lvlJc w:val="left"/>
      <w:pPr>
        <w:ind w:left="1374" w:hanging="337"/>
      </w:pPr>
      <w:rPr>
        <w:rFonts w:hint="default"/>
        <w:lang w:val="en-US" w:eastAsia="en-US" w:bidi="ar-SA"/>
      </w:rPr>
    </w:lvl>
    <w:lvl w:ilvl="2" w:tplc="A3C8A514">
      <w:numFmt w:val="bullet"/>
      <w:lvlText w:val="•"/>
      <w:lvlJc w:val="left"/>
      <w:pPr>
        <w:ind w:left="2288" w:hanging="337"/>
      </w:pPr>
      <w:rPr>
        <w:rFonts w:hint="default"/>
        <w:lang w:val="en-US" w:eastAsia="en-US" w:bidi="ar-SA"/>
      </w:rPr>
    </w:lvl>
    <w:lvl w:ilvl="3" w:tplc="8DA8F9E4">
      <w:numFmt w:val="bullet"/>
      <w:lvlText w:val="•"/>
      <w:lvlJc w:val="left"/>
      <w:pPr>
        <w:ind w:left="3202" w:hanging="337"/>
      </w:pPr>
      <w:rPr>
        <w:rFonts w:hint="default"/>
        <w:lang w:val="en-US" w:eastAsia="en-US" w:bidi="ar-SA"/>
      </w:rPr>
    </w:lvl>
    <w:lvl w:ilvl="4" w:tplc="3F003BF6">
      <w:numFmt w:val="bullet"/>
      <w:lvlText w:val="•"/>
      <w:lvlJc w:val="left"/>
      <w:pPr>
        <w:ind w:left="4116" w:hanging="337"/>
      </w:pPr>
      <w:rPr>
        <w:rFonts w:hint="default"/>
        <w:lang w:val="en-US" w:eastAsia="en-US" w:bidi="ar-SA"/>
      </w:rPr>
    </w:lvl>
    <w:lvl w:ilvl="5" w:tplc="C8E2137C">
      <w:numFmt w:val="bullet"/>
      <w:lvlText w:val="•"/>
      <w:lvlJc w:val="left"/>
      <w:pPr>
        <w:ind w:left="5030" w:hanging="337"/>
      </w:pPr>
      <w:rPr>
        <w:rFonts w:hint="default"/>
        <w:lang w:val="en-US" w:eastAsia="en-US" w:bidi="ar-SA"/>
      </w:rPr>
    </w:lvl>
    <w:lvl w:ilvl="6" w:tplc="CF30052A">
      <w:numFmt w:val="bullet"/>
      <w:lvlText w:val="•"/>
      <w:lvlJc w:val="left"/>
      <w:pPr>
        <w:ind w:left="5944" w:hanging="337"/>
      </w:pPr>
      <w:rPr>
        <w:rFonts w:hint="default"/>
        <w:lang w:val="en-US" w:eastAsia="en-US" w:bidi="ar-SA"/>
      </w:rPr>
    </w:lvl>
    <w:lvl w:ilvl="7" w:tplc="7DACC5D0">
      <w:numFmt w:val="bullet"/>
      <w:lvlText w:val="•"/>
      <w:lvlJc w:val="left"/>
      <w:pPr>
        <w:ind w:left="6858" w:hanging="337"/>
      </w:pPr>
      <w:rPr>
        <w:rFonts w:hint="default"/>
        <w:lang w:val="en-US" w:eastAsia="en-US" w:bidi="ar-SA"/>
      </w:rPr>
    </w:lvl>
    <w:lvl w:ilvl="8" w:tplc="4B485C04">
      <w:numFmt w:val="bullet"/>
      <w:lvlText w:val="•"/>
      <w:lvlJc w:val="left"/>
      <w:pPr>
        <w:ind w:left="7772" w:hanging="337"/>
      </w:pPr>
      <w:rPr>
        <w:rFonts w:hint="default"/>
        <w:lang w:val="en-US" w:eastAsia="en-US" w:bidi="ar-SA"/>
      </w:rPr>
    </w:lvl>
  </w:abstractNum>
  <w:abstractNum w:abstractNumId="2" w15:restartNumberingAfterBreak="0">
    <w:nsid w:val="5CE754F3"/>
    <w:multiLevelType w:val="hybridMultilevel"/>
    <w:tmpl w:val="FBB28A46"/>
    <w:lvl w:ilvl="0" w:tplc="F8E2781A">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02527662">
    <w:abstractNumId w:val="1"/>
  </w:num>
  <w:num w:numId="2" w16cid:durableId="165020411">
    <w:abstractNumId w:val="0"/>
  </w:num>
  <w:num w:numId="3" w16cid:durableId="871845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20F"/>
    <w:rsid w:val="000350C7"/>
    <w:rsid w:val="00045B78"/>
    <w:rsid w:val="00064554"/>
    <w:rsid w:val="000741B2"/>
    <w:rsid w:val="00075D86"/>
    <w:rsid w:val="00085F12"/>
    <w:rsid w:val="000D4B2D"/>
    <w:rsid w:val="000F40D4"/>
    <w:rsid w:val="000F711D"/>
    <w:rsid w:val="001152E9"/>
    <w:rsid w:val="00154EAC"/>
    <w:rsid w:val="001A7BD3"/>
    <w:rsid w:val="001B3C54"/>
    <w:rsid w:val="002044CC"/>
    <w:rsid w:val="002154EF"/>
    <w:rsid w:val="00242637"/>
    <w:rsid w:val="002630BC"/>
    <w:rsid w:val="00272CCD"/>
    <w:rsid w:val="00274CAD"/>
    <w:rsid w:val="002810F5"/>
    <w:rsid w:val="002946A4"/>
    <w:rsid w:val="00297B7D"/>
    <w:rsid w:val="002C120F"/>
    <w:rsid w:val="003324F2"/>
    <w:rsid w:val="00361391"/>
    <w:rsid w:val="00371296"/>
    <w:rsid w:val="003816A4"/>
    <w:rsid w:val="003B4C26"/>
    <w:rsid w:val="003B4D6B"/>
    <w:rsid w:val="003F1A2C"/>
    <w:rsid w:val="003F2C73"/>
    <w:rsid w:val="003F3BF7"/>
    <w:rsid w:val="00411724"/>
    <w:rsid w:val="004301B8"/>
    <w:rsid w:val="0046132F"/>
    <w:rsid w:val="0048091D"/>
    <w:rsid w:val="004B680F"/>
    <w:rsid w:val="004C1331"/>
    <w:rsid w:val="004C1336"/>
    <w:rsid w:val="004C6D4A"/>
    <w:rsid w:val="004F5A06"/>
    <w:rsid w:val="00517868"/>
    <w:rsid w:val="00531D7F"/>
    <w:rsid w:val="00582B86"/>
    <w:rsid w:val="005B43B3"/>
    <w:rsid w:val="006112AE"/>
    <w:rsid w:val="006326D3"/>
    <w:rsid w:val="00664390"/>
    <w:rsid w:val="00671677"/>
    <w:rsid w:val="00672CCA"/>
    <w:rsid w:val="00674B6C"/>
    <w:rsid w:val="00676A76"/>
    <w:rsid w:val="00697A67"/>
    <w:rsid w:val="006B5839"/>
    <w:rsid w:val="006C2E60"/>
    <w:rsid w:val="006F6205"/>
    <w:rsid w:val="007002FA"/>
    <w:rsid w:val="00723F8C"/>
    <w:rsid w:val="0074596D"/>
    <w:rsid w:val="0075565B"/>
    <w:rsid w:val="007C72F2"/>
    <w:rsid w:val="007F184A"/>
    <w:rsid w:val="00884094"/>
    <w:rsid w:val="00884652"/>
    <w:rsid w:val="0088628F"/>
    <w:rsid w:val="008864E5"/>
    <w:rsid w:val="00890A66"/>
    <w:rsid w:val="008D1A53"/>
    <w:rsid w:val="00915E6A"/>
    <w:rsid w:val="009321A0"/>
    <w:rsid w:val="00933536"/>
    <w:rsid w:val="00934F6B"/>
    <w:rsid w:val="00935165"/>
    <w:rsid w:val="00936861"/>
    <w:rsid w:val="00977ABD"/>
    <w:rsid w:val="009A0B43"/>
    <w:rsid w:val="009A4401"/>
    <w:rsid w:val="009A7344"/>
    <w:rsid w:val="009F7D42"/>
    <w:rsid w:val="00A06577"/>
    <w:rsid w:val="00A077AC"/>
    <w:rsid w:val="00A32327"/>
    <w:rsid w:val="00A53E5E"/>
    <w:rsid w:val="00A63547"/>
    <w:rsid w:val="00A643F8"/>
    <w:rsid w:val="00A87C80"/>
    <w:rsid w:val="00AD6AEE"/>
    <w:rsid w:val="00AE38F1"/>
    <w:rsid w:val="00AE6430"/>
    <w:rsid w:val="00B00522"/>
    <w:rsid w:val="00B12C79"/>
    <w:rsid w:val="00B6784D"/>
    <w:rsid w:val="00B74E8E"/>
    <w:rsid w:val="00B91B1D"/>
    <w:rsid w:val="00BE32A3"/>
    <w:rsid w:val="00C92AB5"/>
    <w:rsid w:val="00CC3333"/>
    <w:rsid w:val="00CC624E"/>
    <w:rsid w:val="00CD0E23"/>
    <w:rsid w:val="00CE2C18"/>
    <w:rsid w:val="00CE4768"/>
    <w:rsid w:val="00CF0D5E"/>
    <w:rsid w:val="00D130E6"/>
    <w:rsid w:val="00D24D8B"/>
    <w:rsid w:val="00D572E9"/>
    <w:rsid w:val="00D71060"/>
    <w:rsid w:val="00D72D3F"/>
    <w:rsid w:val="00D73BDC"/>
    <w:rsid w:val="00D770D2"/>
    <w:rsid w:val="00DA02B4"/>
    <w:rsid w:val="00DA3BC1"/>
    <w:rsid w:val="00DC33A5"/>
    <w:rsid w:val="00DC54F5"/>
    <w:rsid w:val="00DE62B2"/>
    <w:rsid w:val="00DF1B27"/>
    <w:rsid w:val="00E2135A"/>
    <w:rsid w:val="00E255C1"/>
    <w:rsid w:val="00E27E26"/>
    <w:rsid w:val="00E95985"/>
    <w:rsid w:val="00EA491D"/>
    <w:rsid w:val="00EC2392"/>
    <w:rsid w:val="00EF35EF"/>
    <w:rsid w:val="00F261F8"/>
    <w:rsid w:val="00F7426C"/>
    <w:rsid w:val="00F80E49"/>
    <w:rsid w:val="00F9426A"/>
    <w:rsid w:val="00F977A7"/>
    <w:rsid w:val="00F978D7"/>
    <w:rsid w:val="00FB0A09"/>
    <w:rsid w:val="00FC0C52"/>
    <w:rsid w:val="00FE5045"/>
    <w:rsid w:val="00FF4BC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78F90"/>
  <w15:docId w15:val="{1A7FD420-5C5F-4F05-9716-717765DB5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941" w:right="978"/>
      <w:jc w:val="center"/>
      <w:outlineLvl w:val="0"/>
    </w:pPr>
    <w:rPr>
      <w:sz w:val="28"/>
      <w:szCs w:val="28"/>
    </w:rPr>
  </w:style>
  <w:style w:type="paragraph" w:styleId="Heading2">
    <w:name w:val="heading 2"/>
    <w:basedOn w:val="Normal"/>
    <w:uiPriority w:val="1"/>
    <w:qFormat/>
    <w:pPr>
      <w:ind w:left="100"/>
      <w:jc w:val="right"/>
      <w:outlineLvl w:val="1"/>
    </w:pPr>
    <w:rPr>
      <w:b/>
      <w:bCs/>
      <w:sz w:val="24"/>
      <w:szCs w:val="24"/>
    </w:rPr>
  </w:style>
  <w:style w:type="paragraph" w:styleId="Heading4">
    <w:name w:val="heading 4"/>
    <w:basedOn w:val="Normal"/>
    <w:next w:val="Normal"/>
    <w:link w:val="Heading4Char"/>
    <w:uiPriority w:val="9"/>
    <w:semiHidden/>
    <w:unhideWhenUsed/>
    <w:qFormat/>
    <w:rsid w:val="00D72D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9"/>
      <w:ind w:left="2531" w:right="2569"/>
      <w:jc w:val="center"/>
    </w:pPr>
    <w:rPr>
      <w:b/>
      <w:bCs/>
      <w:sz w:val="28"/>
      <w:szCs w:val="28"/>
      <w:u w:val="single" w:color="000000"/>
    </w:rPr>
  </w:style>
  <w:style w:type="paragraph" w:styleId="ListParagraph">
    <w:name w:val="List Paragraph"/>
    <w:basedOn w:val="Normal"/>
    <w:uiPriority w:val="1"/>
    <w:qFormat/>
    <w:pPr>
      <w:ind w:left="460" w:right="148" w:hanging="360"/>
    </w:pPr>
  </w:style>
  <w:style w:type="paragraph" w:customStyle="1" w:styleId="TableParagraph">
    <w:name w:val="Table Paragraph"/>
    <w:basedOn w:val="Normal"/>
    <w:uiPriority w:val="1"/>
    <w:qFormat/>
    <w:pPr>
      <w:ind w:left="-1"/>
    </w:pPr>
  </w:style>
  <w:style w:type="paragraph" w:styleId="Header">
    <w:name w:val="header"/>
    <w:basedOn w:val="Normal"/>
    <w:link w:val="HeaderChar"/>
    <w:uiPriority w:val="99"/>
    <w:unhideWhenUsed/>
    <w:rsid w:val="003B4D6B"/>
    <w:pPr>
      <w:tabs>
        <w:tab w:val="center" w:pos="4513"/>
        <w:tab w:val="right" w:pos="9026"/>
      </w:tabs>
    </w:pPr>
  </w:style>
  <w:style w:type="character" w:customStyle="1" w:styleId="HeaderChar">
    <w:name w:val="Header Char"/>
    <w:basedOn w:val="DefaultParagraphFont"/>
    <w:link w:val="Header"/>
    <w:uiPriority w:val="99"/>
    <w:rsid w:val="003B4D6B"/>
    <w:rPr>
      <w:rFonts w:ascii="Times New Roman" w:eastAsia="Times New Roman" w:hAnsi="Times New Roman" w:cs="Times New Roman"/>
    </w:rPr>
  </w:style>
  <w:style w:type="paragraph" w:styleId="Footer">
    <w:name w:val="footer"/>
    <w:basedOn w:val="Normal"/>
    <w:link w:val="FooterChar"/>
    <w:uiPriority w:val="99"/>
    <w:unhideWhenUsed/>
    <w:rsid w:val="003B4D6B"/>
    <w:pPr>
      <w:tabs>
        <w:tab w:val="center" w:pos="4513"/>
        <w:tab w:val="right" w:pos="9026"/>
      </w:tabs>
    </w:pPr>
  </w:style>
  <w:style w:type="character" w:customStyle="1" w:styleId="FooterChar">
    <w:name w:val="Footer Char"/>
    <w:basedOn w:val="DefaultParagraphFont"/>
    <w:link w:val="Footer"/>
    <w:uiPriority w:val="99"/>
    <w:rsid w:val="003B4D6B"/>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D72D3F"/>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2154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95185">
      <w:bodyDiv w:val="1"/>
      <w:marLeft w:val="0"/>
      <w:marRight w:val="0"/>
      <w:marTop w:val="0"/>
      <w:marBottom w:val="0"/>
      <w:divBdr>
        <w:top w:val="none" w:sz="0" w:space="0" w:color="auto"/>
        <w:left w:val="none" w:sz="0" w:space="0" w:color="auto"/>
        <w:bottom w:val="none" w:sz="0" w:space="0" w:color="auto"/>
        <w:right w:val="none" w:sz="0" w:space="0" w:color="auto"/>
      </w:divBdr>
    </w:div>
    <w:div w:id="981076774">
      <w:bodyDiv w:val="1"/>
      <w:marLeft w:val="0"/>
      <w:marRight w:val="0"/>
      <w:marTop w:val="0"/>
      <w:marBottom w:val="0"/>
      <w:divBdr>
        <w:top w:val="none" w:sz="0" w:space="0" w:color="auto"/>
        <w:left w:val="none" w:sz="0" w:space="0" w:color="auto"/>
        <w:bottom w:val="none" w:sz="0" w:space="0" w:color="auto"/>
        <w:right w:val="none" w:sz="0" w:space="0" w:color="auto"/>
      </w:divBdr>
    </w:div>
    <w:div w:id="1293444173">
      <w:bodyDiv w:val="1"/>
      <w:marLeft w:val="0"/>
      <w:marRight w:val="0"/>
      <w:marTop w:val="0"/>
      <w:marBottom w:val="0"/>
      <w:divBdr>
        <w:top w:val="none" w:sz="0" w:space="0" w:color="auto"/>
        <w:left w:val="none" w:sz="0" w:space="0" w:color="auto"/>
        <w:bottom w:val="none" w:sz="0" w:space="0" w:color="auto"/>
        <w:right w:val="none" w:sz="0" w:space="0" w:color="auto"/>
      </w:divBdr>
    </w:div>
    <w:div w:id="1748456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IS/ISO 6709:2022</vt:lpstr>
    </vt:vector>
  </TitlesOfParts>
  <Company>HP Inc.</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IS/ISO 6709:2022</dc:title>
  <dc:creator>hp</dc:creator>
  <cp:lastModifiedBy>Inno</cp:lastModifiedBy>
  <cp:revision>798</cp:revision>
  <dcterms:created xsi:type="dcterms:W3CDTF">2024-06-14T09:20:00Z</dcterms:created>
  <dcterms:modified xsi:type="dcterms:W3CDTF">2024-11-12T11:22:00Z</dcterms:modified>
</cp:coreProperties>
</file>