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1A9" w:rsidRDefault="004671A9" w:rsidP="005A0FD4">
      <w:pPr>
        <w:pStyle w:val="BodyText"/>
        <w:spacing w:before="1"/>
        <w:ind w:right="10"/>
        <w:rPr>
          <w:sz w:val="20"/>
        </w:rPr>
      </w:pPr>
    </w:p>
    <w:p w:rsidR="005A0FD4" w:rsidRDefault="005A0FD4" w:rsidP="00C40395">
      <w:pPr>
        <w:pStyle w:val="Style1"/>
        <w:spacing w:line="360" w:lineRule="auto"/>
        <w:ind w:right="10"/>
        <w:rPr>
          <w:sz w:val="32"/>
          <w:szCs w:val="32"/>
        </w:rPr>
      </w:pPr>
    </w:p>
    <w:p w:rsidR="00213514" w:rsidRPr="00213514" w:rsidRDefault="00213514" w:rsidP="00213514">
      <w:pPr>
        <w:pStyle w:val="Style1"/>
        <w:ind w:right="10"/>
        <w:jc w:val="center"/>
        <w:rPr>
          <w:rFonts w:ascii="Times New Roman" w:hAnsi="Times New Roman" w:cs="Times New Roman"/>
          <w:b/>
          <w:bCs/>
          <w:i/>
          <w:iCs/>
          <w:sz w:val="52"/>
          <w:szCs w:val="52"/>
        </w:rPr>
      </w:pPr>
      <w:r w:rsidRPr="00213514">
        <w:rPr>
          <w:rFonts w:hint="cs"/>
          <w:b/>
          <w:bCs/>
          <w:i/>
          <w:iCs/>
          <w:sz w:val="48"/>
          <w:szCs w:val="48"/>
          <w:cs/>
        </w:rPr>
        <w:t>भारतीय</w:t>
      </w:r>
      <w:r w:rsidRPr="00213514">
        <w:rPr>
          <w:rFonts w:ascii="Times New Roman" w:hAnsi="Times New Roman" w:cs="Times New Roman"/>
          <w:b/>
          <w:bCs/>
          <w:i/>
          <w:iCs/>
          <w:sz w:val="48"/>
          <w:szCs w:val="48"/>
          <w:cs/>
        </w:rPr>
        <w:t xml:space="preserve"> </w:t>
      </w:r>
      <w:r w:rsidRPr="00213514">
        <w:rPr>
          <w:rFonts w:hint="cs"/>
          <w:b/>
          <w:bCs/>
          <w:i/>
          <w:iCs/>
          <w:sz w:val="48"/>
          <w:szCs w:val="48"/>
          <w:cs/>
        </w:rPr>
        <w:t>मानक</w:t>
      </w:r>
    </w:p>
    <w:p w:rsidR="00213514" w:rsidRPr="00213514" w:rsidRDefault="00213514" w:rsidP="004D5221">
      <w:pPr>
        <w:pStyle w:val="Style1"/>
        <w:ind w:right="10"/>
        <w:jc w:val="center"/>
        <w:rPr>
          <w:rFonts w:ascii="Times New Roman" w:hAnsi="Times New Roman" w:cs="Times New Roman"/>
          <w:b/>
          <w:bCs/>
          <w:i/>
          <w:iCs/>
          <w:color w:val="000000" w:themeColor="text1"/>
          <w:sz w:val="72"/>
          <w:szCs w:val="72"/>
        </w:rPr>
      </w:pPr>
      <w:r w:rsidRPr="00213514">
        <w:rPr>
          <w:rFonts w:hint="cs"/>
          <w:b/>
          <w:bCs/>
          <w:i/>
          <w:iCs/>
          <w:color w:val="000000" w:themeColor="text1"/>
          <w:sz w:val="56"/>
          <w:szCs w:val="56"/>
          <w:cs/>
        </w:rPr>
        <w:t>समाक्ष</w:t>
      </w:r>
      <w:r w:rsidRPr="00213514">
        <w:rPr>
          <w:b/>
          <w:bCs/>
          <w:i/>
          <w:iCs/>
          <w:color w:val="000000" w:themeColor="text1"/>
          <w:sz w:val="56"/>
          <w:szCs w:val="56"/>
          <w:cs/>
        </w:rPr>
        <w:t xml:space="preserve"> </w:t>
      </w:r>
      <w:r w:rsidRPr="00213514">
        <w:rPr>
          <w:rFonts w:hint="cs"/>
          <w:b/>
          <w:bCs/>
          <w:i/>
          <w:iCs/>
          <w:color w:val="000000" w:themeColor="text1"/>
          <w:sz w:val="56"/>
          <w:szCs w:val="56"/>
          <w:cs/>
        </w:rPr>
        <w:t>संचार</w:t>
      </w:r>
      <w:r w:rsidRPr="00213514">
        <w:rPr>
          <w:b/>
          <w:bCs/>
          <w:i/>
          <w:iCs/>
          <w:color w:val="000000" w:themeColor="text1"/>
          <w:sz w:val="56"/>
          <w:szCs w:val="56"/>
          <w:cs/>
        </w:rPr>
        <w:t xml:space="preserve"> </w:t>
      </w:r>
      <w:r w:rsidRPr="00213514">
        <w:rPr>
          <w:rFonts w:hint="cs"/>
          <w:b/>
          <w:bCs/>
          <w:i/>
          <w:iCs/>
          <w:color w:val="000000" w:themeColor="text1"/>
          <w:sz w:val="56"/>
          <w:szCs w:val="56"/>
          <w:cs/>
        </w:rPr>
        <w:t>केबल</w:t>
      </w:r>
      <w:r w:rsidRPr="00213514">
        <w:rPr>
          <w:rFonts w:ascii="Times New Roman" w:hAnsi="Times New Roman" w:cs="Times New Roman"/>
          <w:b/>
          <w:bCs/>
          <w:i/>
          <w:iCs/>
          <w:color w:val="000000" w:themeColor="text1"/>
          <w:sz w:val="72"/>
          <w:szCs w:val="72"/>
          <w:cs/>
        </w:rPr>
        <w:t xml:space="preserve"> </w:t>
      </w:r>
      <w:r w:rsidRPr="00213514">
        <w:rPr>
          <w:rFonts w:ascii="Times New Roman" w:hAnsi="Times New Roman" w:cs="Times New Roman" w:hint="cs"/>
          <w:b/>
          <w:bCs/>
          <w:i/>
          <w:iCs/>
          <w:color w:val="000000" w:themeColor="text1"/>
          <w:sz w:val="72"/>
          <w:szCs w:val="72"/>
          <w:cs/>
        </w:rPr>
        <w:t>–</w:t>
      </w:r>
      <w:r w:rsidRPr="00213514">
        <w:rPr>
          <w:rFonts w:ascii="Times New Roman" w:hAnsi="Times New Roman" w:cs="Times New Roman"/>
          <w:b/>
          <w:bCs/>
          <w:i/>
          <w:iCs/>
          <w:color w:val="000000" w:themeColor="text1"/>
          <w:sz w:val="72"/>
          <w:szCs w:val="72"/>
          <w:cs/>
        </w:rPr>
        <w:t xml:space="preserve"> </w:t>
      </w:r>
    </w:p>
    <w:p w:rsidR="00213514" w:rsidRPr="00213514" w:rsidRDefault="00213514" w:rsidP="004D5221">
      <w:pPr>
        <w:pStyle w:val="Style1"/>
        <w:ind w:right="10"/>
        <w:jc w:val="center"/>
        <w:rPr>
          <w:rFonts w:ascii="Times New Roman" w:hAnsi="Times New Roman" w:cs="Times New Roman"/>
          <w:b/>
          <w:bCs/>
          <w:i/>
          <w:iCs/>
          <w:color w:val="000000" w:themeColor="text1"/>
          <w:sz w:val="56"/>
          <w:szCs w:val="56"/>
        </w:rPr>
      </w:pPr>
      <w:r w:rsidRPr="00213514">
        <w:rPr>
          <w:rFonts w:hint="cs"/>
          <w:b/>
          <w:bCs/>
          <w:i/>
          <w:iCs/>
          <w:color w:val="000000" w:themeColor="text1"/>
          <w:sz w:val="56"/>
          <w:szCs w:val="56"/>
          <w:cs/>
        </w:rPr>
        <w:t>भाग</w:t>
      </w:r>
      <w:r w:rsidRPr="00213514">
        <w:rPr>
          <w:rFonts w:ascii="Times New Roman" w:hAnsi="Times New Roman" w:cs="Times New Roman"/>
          <w:b/>
          <w:bCs/>
          <w:i/>
          <w:iCs/>
          <w:color w:val="000000" w:themeColor="text1"/>
          <w:sz w:val="56"/>
          <w:szCs w:val="56"/>
        </w:rPr>
        <w:t xml:space="preserve"> </w:t>
      </w:r>
      <w:r w:rsidR="00DA7EAB">
        <w:rPr>
          <w:rFonts w:ascii="Times New Roman" w:hAnsi="Times New Roman" w:cs="Times New Roman"/>
          <w:b/>
          <w:bCs/>
          <w:i/>
          <w:iCs/>
          <w:color w:val="000000" w:themeColor="text1"/>
          <w:sz w:val="44"/>
          <w:szCs w:val="44"/>
        </w:rPr>
        <w:t>1</w:t>
      </w:r>
      <w:r w:rsidRPr="00213514">
        <w:rPr>
          <w:rFonts w:ascii="Times New Roman" w:hAnsi="Times New Roman" w:cs="Times New Roman"/>
          <w:b/>
          <w:bCs/>
          <w:i/>
          <w:iCs/>
          <w:color w:val="000000" w:themeColor="text1"/>
          <w:sz w:val="56"/>
          <w:szCs w:val="56"/>
        </w:rPr>
        <w:t xml:space="preserve">: </w:t>
      </w:r>
      <w:r w:rsidR="00DA7EAB" w:rsidRPr="00DA7EAB">
        <w:rPr>
          <w:rFonts w:hint="cs"/>
          <w:b/>
          <w:bCs/>
          <w:i/>
          <w:iCs/>
          <w:color w:val="000000" w:themeColor="text1"/>
          <w:sz w:val="56"/>
          <w:szCs w:val="56"/>
          <w:cs/>
        </w:rPr>
        <w:t>विद्युत</w:t>
      </w:r>
      <w:r w:rsidR="00DA7EAB" w:rsidRPr="00DA7EAB">
        <w:rPr>
          <w:b/>
          <w:bCs/>
          <w:i/>
          <w:iCs/>
          <w:color w:val="000000" w:themeColor="text1"/>
          <w:sz w:val="56"/>
          <w:szCs w:val="56"/>
          <w:cs/>
        </w:rPr>
        <w:t xml:space="preserve"> </w:t>
      </w:r>
      <w:r w:rsidR="00DA7EAB" w:rsidRPr="00DA7EAB">
        <w:rPr>
          <w:rFonts w:hint="cs"/>
          <w:b/>
          <w:bCs/>
          <w:i/>
          <w:iCs/>
          <w:color w:val="000000" w:themeColor="text1"/>
          <w:sz w:val="56"/>
          <w:szCs w:val="56"/>
          <w:cs/>
        </w:rPr>
        <w:t>परीक्षण</w:t>
      </w:r>
      <w:r w:rsidR="00DA7EAB" w:rsidRPr="00DA7EAB">
        <w:rPr>
          <w:b/>
          <w:bCs/>
          <w:i/>
          <w:iCs/>
          <w:color w:val="000000" w:themeColor="text1"/>
          <w:sz w:val="56"/>
          <w:szCs w:val="56"/>
          <w:cs/>
        </w:rPr>
        <w:t xml:space="preserve"> </w:t>
      </w:r>
      <w:r w:rsidR="00DA7EAB" w:rsidRPr="00DA7EAB">
        <w:rPr>
          <w:rFonts w:hint="cs"/>
          <w:b/>
          <w:bCs/>
          <w:i/>
          <w:iCs/>
          <w:color w:val="000000" w:themeColor="text1"/>
          <w:sz w:val="56"/>
          <w:szCs w:val="56"/>
          <w:cs/>
        </w:rPr>
        <w:t>विधियाँ</w:t>
      </w:r>
      <w:r w:rsidR="00DA7EAB" w:rsidRPr="00DA7EAB">
        <w:rPr>
          <w:b/>
          <w:bCs/>
          <w:i/>
          <w:iCs/>
          <w:color w:val="000000" w:themeColor="text1"/>
          <w:sz w:val="56"/>
          <w:szCs w:val="56"/>
          <w:cs/>
        </w:rPr>
        <w:t xml:space="preserve"> </w:t>
      </w:r>
      <w:r w:rsidRPr="00213514">
        <w:rPr>
          <w:rFonts w:ascii="Times New Roman" w:hAnsi="Times New Roman" w:cs="Times New Roman"/>
          <w:b/>
          <w:bCs/>
          <w:i/>
          <w:iCs/>
          <w:color w:val="000000" w:themeColor="text1"/>
          <w:sz w:val="56"/>
          <w:szCs w:val="56"/>
          <w:cs/>
        </w:rPr>
        <w:t xml:space="preserve">– </w:t>
      </w:r>
    </w:p>
    <w:p w:rsidR="00A21F9A" w:rsidRDefault="00213514" w:rsidP="004D5221">
      <w:pPr>
        <w:pStyle w:val="Style1"/>
        <w:ind w:right="10"/>
        <w:jc w:val="center"/>
        <w:rPr>
          <w:b/>
          <w:bCs/>
          <w:i/>
          <w:iCs/>
          <w:color w:val="000000" w:themeColor="text1"/>
          <w:sz w:val="56"/>
          <w:szCs w:val="56"/>
        </w:rPr>
      </w:pPr>
      <w:r w:rsidRPr="00213514">
        <w:rPr>
          <w:rFonts w:hint="cs"/>
          <w:b/>
          <w:bCs/>
          <w:i/>
          <w:iCs/>
          <w:color w:val="000000" w:themeColor="text1"/>
          <w:sz w:val="56"/>
          <w:szCs w:val="56"/>
          <w:cs/>
        </w:rPr>
        <w:t>अनुभाग</w:t>
      </w:r>
      <w:r w:rsidRPr="00213514">
        <w:rPr>
          <w:rFonts w:ascii="Times New Roman" w:hAnsi="Times New Roman" w:cs="Times New Roman"/>
          <w:b/>
          <w:bCs/>
          <w:i/>
          <w:iCs/>
          <w:color w:val="000000" w:themeColor="text1"/>
          <w:sz w:val="56"/>
          <w:szCs w:val="56"/>
        </w:rPr>
        <w:t xml:space="preserve"> </w:t>
      </w:r>
      <w:r w:rsidR="00AE7D4E">
        <w:rPr>
          <w:rFonts w:ascii="Times New Roman" w:hAnsi="Times New Roman" w:cs="Times New Roman"/>
          <w:b/>
          <w:bCs/>
          <w:i/>
          <w:iCs/>
          <w:color w:val="000000" w:themeColor="text1"/>
          <w:sz w:val="44"/>
          <w:szCs w:val="44"/>
        </w:rPr>
        <w:t>1</w:t>
      </w:r>
      <w:r w:rsidR="00DA7EAB">
        <w:rPr>
          <w:rFonts w:ascii="Times New Roman" w:hAnsi="Times New Roman" w:cs="Times New Roman"/>
          <w:b/>
          <w:bCs/>
          <w:i/>
          <w:iCs/>
          <w:color w:val="000000" w:themeColor="text1"/>
          <w:sz w:val="44"/>
          <w:szCs w:val="44"/>
        </w:rPr>
        <w:t>04</w:t>
      </w:r>
      <w:r w:rsidRPr="00213514">
        <w:rPr>
          <w:rFonts w:ascii="Times New Roman" w:hAnsi="Times New Roman" w:cs="Times New Roman"/>
          <w:b/>
          <w:bCs/>
          <w:i/>
          <w:iCs/>
          <w:color w:val="000000" w:themeColor="text1"/>
          <w:sz w:val="44"/>
          <w:szCs w:val="44"/>
        </w:rPr>
        <w:t>:</w:t>
      </w:r>
      <w:r w:rsidRPr="00213514">
        <w:rPr>
          <w:rFonts w:ascii="Times New Roman" w:hAnsi="Times New Roman" w:cs="Times New Roman"/>
          <w:b/>
          <w:bCs/>
          <w:i/>
          <w:iCs/>
          <w:color w:val="000000" w:themeColor="text1"/>
          <w:sz w:val="56"/>
          <w:szCs w:val="56"/>
        </w:rPr>
        <w:t xml:space="preserve"> </w:t>
      </w:r>
      <w:r w:rsidR="00A21F9A" w:rsidRPr="00A21F9A">
        <w:rPr>
          <w:rFonts w:hint="cs"/>
          <w:b/>
          <w:bCs/>
          <w:i/>
          <w:iCs/>
          <w:color w:val="000000" w:themeColor="text1"/>
          <w:sz w:val="56"/>
          <w:szCs w:val="56"/>
          <w:cs/>
        </w:rPr>
        <w:t>तापमान</w:t>
      </w:r>
      <w:r w:rsidR="00A21F9A" w:rsidRPr="00A21F9A">
        <w:rPr>
          <w:b/>
          <w:bCs/>
          <w:i/>
          <w:iCs/>
          <w:color w:val="000000" w:themeColor="text1"/>
          <w:sz w:val="56"/>
          <w:szCs w:val="56"/>
          <w:cs/>
        </w:rPr>
        <w:t xml:space="preserve"> </w:t>
      </w:r>
      <w:r w:rsidR="00A21F9A" w:rsidRPr="00A21F9A">
        <w:rPr>
          <w:rFonts w:hint="cs"/>
          <w:b/>
          <w:bCs/>
          <w:i/>
          <w:iCs/>
          <w:color w:val="000000" w:themeColor="text1"/>
          <w:sz w:val="56"/>
          <w:szCs w:val="56"/>
          <w:cs/>
        </w:rPr>
        <w:t>बनाम</w:t>
      </w:r>
      <w:r w:rsidR="00A21F9A" w:rsidRPr="00A21F9A">
        <w:rPr>
          <w:b/>
          <w:bCs/>
          <w:i/>
          <w:iCs/>
          <w:color w:val="000000" w:themeColor="text1"/>
          <w:sz w:val="56"/>
          <w:szCs w:val="56"/>
          <w:cs/>
        </w:rPr>
        <w:t xml:space="preserve"> </w:t>
      </w:r>
      <w:r w:rsidR="00A21F9A" w:rsidRPr="00A21F9A">
        <w:rPr>
          <w:rFonts w:hint="cs"/>
          <w:b/>
          <w:bCs/>
          <w:i/>
          <w:iCs/>
          <w:color w:val="000000" w:themeColor="text1"/>
          <w:sz w:val="56"/>
          <w:szCs w:val="56"/>
          <w:cs/>
        </w:rPr>
        <w:t>केबल</w:t>
      </w:r>
      <w:r w:rsidR="00A21F9A" w:rsidRPr="00A21F9A">
        <w:rPr>
          <w:b/>
          <w:bCs/>
          <w:i/>
          <w:iCs/>
          <w:color w:val="000000" w:themeColor="text1"/>
          <w:sz w:val="56"/>
          <w:szCs w:val="56"/>
          <w:cs/>
        </w:rPr>
        <w:t xml:space="preserve"> </w:t>
      </w:r>
      <w:r w:rsidR="00A21F9A" w:rsidRPr="00A21F9A">
        <w:rPr>
          <w:rFonts w:hint="cs"/>
          <w:b/>
          <w:bCs/>
          <w:i/>
          <w:iCs/>
          <w:color w:val="000000" w:themeColor="text1"/>
          <w:sz w:val="56"/>
          <w:szCs w:val="56"/>
          <w:cs/>
        </w:rPr>
        <w:t>की</w:t>
      </w:r>
      <w:r w:rsidR="00A21F9A" w:rsidRPr="00A21F9A">
        <w:rPr>
          <w:b/>
          <w:bCs/>
          <w:i/>
          <w:iCs/>
          <w:color w:val="000000" w:themeColor="text1"/>
          <w:sz w:val="56"/>
          <w:szCs w:val="56"/>
          <w:cs/>
        </w:rPr>
        <w:t xml:space="preserve"> </w:t>
      </w:r>
      <w:r w:rsidR="00A21F9A" w:rsidRPr="00A21F9A">
        <w:rPr>
          <w:rFonts w:hint="cs"/>
          <w:b/>
          <w:bCs/>
          <w:i/>
          <w:iCs/>
          <w:color w:val="000000" w:themeColor="text1"/>
          <w:sz w:val="56"/>
          <w:szCs w:val="56"/>
          <w:cs/>
        </w:rPr>
        <w:t>धारिता</w:t>
      </w:r>
      <w:r w:rsidR="00A21F9A" w:rsidRPr="00A21F9A">
        <w:rPr>
          <w:b/>
          <w:bCs/>
          <w:i/>
          <w:iCs/>
          <w:color w:val="000000" w:themeColor="text1"/>
          <w:sz w:val="56"/>
          <w:szCs w:val="56"/>
          <w:cs/>
        </w:rPr>
        <w:t xml:space="preserve"> </w:t>
      </w:r>
    </w:p>
    <w:p w:rsidR="00213514" w:rsidRPr="00213514" w:rsidRDefault="00A21F9A" w:rsidP="004D5221">
      <w:pPr>
        <w:pStyle w:val="Style1"/>
        <w:ind w:right="10"/>
        <w:jc w:val="center"/>
        <w:rPr>
          <w:rFonts w:ascii="Times New Roman" w:eastAsia="Nirmala UI" w:hAnsi="Times New Roman" w:cs="Times New Roman"/>
          <w:b/>
          <w:bCs/>
          <w:i/>
          <w:iCs/>
          <w:strike/>
          <w:color w:val="FF0000"/>
          <w:sz w:val="96"/>
          <w:szCs w:val="96"/>
        </w:rPr>
      </w:pPr>
      <w:r w:rsidRPr="00A21F9A">
        <w:rPr>
          <w:rFonts w:hint="cs"/>
          <w:b/>
          <w:bCs/>
          <w:i/>
          <w:iCs/>
          <w:color w:val="000000" w:themeColor="text1"/>
          <w:sz w:val="56"/>
          <w:szCs w:val="56"/>
          <w:cs/>
        </w:rPr>
        <w:t>की</w:t>
      </w:r>
      <w:r w:rsidRPr="00A21F9A">
        <w:rPr>
          <w:b/>
          <w:bCs/>
          <w:i/>
          <w:iCs/>
          <w:color w:val="000000" w:themeColor="text1"/>
          <w:sz w:val="56"/>
          <w:szCs w:val="56"/>
          <w:cs/>
        </w:rPr>
        <w:t xml:space="preserve"> </w:t>
      </w:r>
      <w:r w:rsidRPr="00A21F9A">
        <w:rPr>
          <w:rFonts w:hint="cs"/>
          <w:b/>
          <w:bCs/>
          <w:i/>
          <w:iCs/>
          <w:color w:val="000000" w:themeColor="text1"/>
          <w:sz w:val="56"/>
          <w:szCs w:val="56"/>
          <w:cs/>
        </w:rPr>
        <w:t>स्थिरता</w:t>
      </w:r>
      <w:r w:rsidRPr="00A21F9A">
        <w:rPr>
          <w:b/>
          <w:bCs/>
          <w:i/>
          <w:iCs/>
          <w:color w:val="000000" w:themeColor="text1"/>
          <w:sz w:val="56"/>
          <w:szCs w:val="56"/>
          <w:cs/>
        </w:rPr>
        <w:t xml:space="preserve"> </w:t>
      </w:r>
      <w:r w:rsidRPr="00A21F9A">
        <w:rPr>
          <w:rFonts w:hint="cs"/>
          <w:b/>
          <w:bCs/>
          <w:i/>
          <w:iCs/>
          <w:color w:val="000000" w:themeColor="text1"/>
          <w:sz w:val="56"/>
          <w:szCs w:val="56"/>
          <w:cs/>
        </w:rPr>
        <w:t>के</w:t>
      </w:r>
      <w:r w:rsidRPr="00A21F9A">
        <w:rPr>
          <w:b/>
          <w:bCs/>
          <w:i/>
          <w:iCs/>
          <w:color w:val="000000" w:themeColor="text1"/>
          <w:sz w:val="56"/>
          <w:szCs w:val="56"/>
          <w:cs/>
        </w:rPr>
        <w:t xml:space="preserve"> </w:t>
      </w:r>
      <w:r w:rsidRPr="00A21F9A">
        <w:rPr>
          <w:rFonts w:hint="cs"/>
          <w:b/>
          <w:bCs/>
          <w:i/>
          <w:iCs/>
          <w:color w:val="000000" w:themeColor="text1"/>
          <w:sz w:val="56"/>
          <w:szCs w:val="56"/>
          <w:cs/>
        </w:rPr>
        <w:t>लिए</w:t>
      </w:r>
      <w:r w:rsidRPr="00A21F9A">
        <w:rPr>
          <w:b/>
          <w:bCs/>
          <w:i/>
          <w:iCs/>
          <w:color w:val="000000" w:themeColor="text1"/>
          <w:sz w:val="56"/>
          <w:szCs w:val="56"/>
          <w:cs/>
        </w:rPr>
        <w:t xml:space="preserve"> </w:t>
      </w:r>
      <w:r w:rsidRPr="00A21F9A">
        <w:rPr>
          <w:rFonts w:hint="cs"/>
          <w:b/>
          <w:bCs/>
          <w:i/>
          <w:iCs/>
          <w:color w:val="000000" w:themeColor="text1"/>
          <w:sz w:val="56"/>
          <w:szCs w:val="56"/>
          <w:cs/>
        </w:rPr>
        <w:t>परीक्षण</w:t>
      </w:r>
    </w:p>
    <w:p w:rsidR="00213514" w:rsidRPr="004A244D" w:rsidRDefault="00213514" w:rsidP="00213514">
      <w:pPr>
        <w:pStyle w:val="Style1"/>
        <w:pBdr>
          <w:bottom w:val="single" w:sz="4" w:space="1" w:color="auto"/>
        </w:pBdr>
        <w:spacing w:line="360" w:lineRule="auto"/>
        <w:ind w:right="10"/>
        <w:jc w:val="center"/>
        <w:rPr>
          <w:rFonts w:ascii="Times New Roman" w:eastAsia="Nirmala UI" w:hAnsi="Times New Roman" w:cs="Times New Roman"/>
          <w:b/>
          <w:bCs/>
          <w:i/>
          <w:iCs/>
          <w:color w:val="000000" w:themeColor="text1"/>
          <w:sz w:val="44"/>
          <w:szCs w:val="44"/>
        </w:rPr>
      </w:pPr>
      <w:r w:rsidRPr="004A244D">
        <w:rPr>
          <w:rFonts w:ascii="Times New Roman" w:eastAsia="Nirmala UI" w:hAnsi="Times New Roman" w:cs="Times New Roman"/>
          <w:b/>
          <w:bCs/>
          <w:i/>
          <w:iCs/>
          <w:color w:val="000000" w:themeColor="text1"/>
          <w:sz w:val="44"/>
          <w:szCs w:val="44"/>
        </w:rPr>
        <w:t>(</w:t>
      </w:r>
      <w:r w:rsidRPr="004A244D">
        <w:rPr>
          <w:rFonts w:eastAsia="Nirmala UI" w:hint="cs"/>
          <w:b/>
          <w:bCs/>
          <w:i/>
          <w:iCs/>
          <w:color w:val="000000" w:themeColor="text1"/>
          <w:sz w:val="44"/>
          <w:szCs w:val="44"/>
          <w:cs/>
        </w:rPr>
        <w:t>पहला</w:t>
      </w:r>
      <w:r w:rsidRPr="004A244D">
        <w:rPr>
          <w:rFonts w:ascii="Times New Roman" w:eastAsia="Nirmala UI" w:hAnsi="Times New Roman" w:cs="Times New Roman"/>
          <w:b/>
          <w:bCs/>
          <w:i/>
          <w:iCs/>
          <w:color w:val="000000" w:themeColor="text1"/>
          <w:sz w:val="44"/>
          <w:szCs w:val="44"/>
          <w:cs/>
        </w:rPr>
        <w:t xml:space="preserve"> </w:t>
      </w:r>
      <w:r w:rsidRPr="004A244D">
        <w:rPr>
          <w:rFonts w:eastAsia="Nirmala UI" w:hint="cs"/>
          <w:b/>
          <w:bCs/>
          <w:i/>
          <w:iCs/>
          <w:color w:val="000000" w:themeColor="text1"/>
          <w:sz w:val="44"/>
          <w:szCs w:val="44"/>
          <w:cs/>
        </w:rPr>
        <w:t>पुनरीक्षण</w:t>
      </w:r>
      <w:r w:rsidRPr="004A244D">
        <w:rPr>
          <w:rFonts w:ascii="Times New Roman" w:eastAsia="Nirmala UI" w:hAnsi="Times New Roman" w:cs="Times New Roman"/>
          <w:b/>
          <w:bCs/>
          <w:i/>
          <w:iCs/>
          <w:color w:val="000000" w:themeColor="text1"/>
          <w:sz w:val="44"/>
          <w:szCs w:val="44"/>
        </w:rPr>
        <w:t>)</w:t>
      </w:r>
    </w:p>
    <w:p w:rsidR="004D5221" w:rsidRPr="004D5221" w:rsidRDefault="004D5221" w:rsidP="00213514">
      <w:pPr>
        <w:spacing w:line="360" w:lineRule="auto"/>
        <w:ind w:right="10"/>
        <w:jc w:val="center"/>
        <w:rPr>
          <w:b/>
          <w:i/>
          <w:sz w:val="16"/>
          <w:szCs w:val="16"/>
        </w:rPr>
      </w:pPr>
    </w:p>
    <w:p w:rsidR="005A0FD4" w:rsidRPr="00213514" w:rsidRDefault="005A0FD4" w:rsidP="00213514">
      <w:pPr>
        <w:spacing w:line="360" w:lineRule="auto"/>
        <w:ind w:right="10"/>
        <w:jc w:val="center"/>
        <w:rPr>
          <w:b/>
          <w:i/>
          <w:spacing w:val="-87"/>
          <w:sz w:val="36"/>
          <w:szCs w:val="36"/>
        </w:rPr>
      </w:pPr>
      <w:r w:rsidRPr="00213514">
        <w:rPr>
          <w:b/>
          <w:i/>
          <w:sz w:val="36"/>
          <w:szCs w:val="36"/>
        </w:rPr>
        <w:t>Indian Standard</w:t>
      </w:r>
    </w:p>
    <w:p w:rsidR="00647A5E" w:rsidRPr="00213514" w:rsidRDefault="00647A5E" w:rsidP="00213514">
      <w:pPr>
        <w:spacing w:line="276" w:lineRule="auto"/>
        <w:ind w:right="10"/>
        <w:jc w:val="center"/>
        <w:rPr>
          <w:b/>
          <w:i/>
          <w:sz w:val="44"/>
          <w:szCs w:val="44"/>
        </w:rPr>
      </w:pPr>
      <w:r w:rsidRPr="00213514">
        <w:rPr>
          <w:b/>
          <w:i/>
          <w:sz w:val="44"/>
          <w:szCs w:val="44"/>
        </w:rPr>
        <w:t xml:space="preserve">Coaxial </w:t>
      </w:r>
      <w:r w:rsidR="00213514" w:rsidRPr="00213514">
        <w:rPr>
          <w:b/>
          <w:i/>
          <w:sz w:val="44"/>
          <w:szCs w:val="44"/>
        </w:rPr>
        <w:t>Communication Cables</w:t>
      </w:r>
      <w:r w:rsidRPr="00213514">
        <w:rPr>
          <w:b/>
          <w:i/>
          <w:sz w:val="44"/>
          <w:szCs w:val="44"/>
        </w:rPr>
        <w:t>–</w:t>
      </w:r>
    </w:p>
    <w:p w:rsidR="00213514" w:rsidRPr="00213514" w:rsidRDefault="00E4232D" w:rsidP="00E4232D">
      <w:pPr>
        <w:spacing w:line="276" w:lineRule="auto"/>
        <w:ind w:right="10"/>
        <w:jc w:val="center"/>
        <w:rPr>
          <w:b/>
          <w:i/>
          <w:sz w:val="44"/>
          <w:szCs w:val="44"/>
        </w:rPr>
      </w:pPr>
      <w:r>
        <w:rPr>
          <w:b/>
          <w:i/>
          <w:sz w:val="44"/>
          <w:szCs w:val="44"/>
        </w:rPr>
        <w:t xml:space="preserve">Part 1: </w:t>
      </w:r>
      <w:r w:rsidRPr="00E4232D">
        <w:rPr>
          <w:b/>
          <w:i/>
          <w:sz w:val="44"/>
          <w:szCs w:val="44"/>
        </w:rPr>
        <w:t xml:space="preserve">Electrical </w:t>
      </w:r>
      <w:r w:rsidR="00DA7EAB" w:rsidRPr="00E4232D">
        <w:rPr>
          <w:b/>
          <w:i/>
          <w:sz w:val="44"/>
          <w:szCs w:val="44"/>
        </w:rPr>
        <w:t xml:space="preserve">Test Methods </w:t>
      </w:r>
      <w:r w:rsidRPr="00E4232D">
        <w:rPr>
          <w:b/>
          <w:i/>
          <w:sz w:val="44"/>
          <w:szCs w:val="44"/>
        </w:rPr>
        <w:t xml:space="preserve">– </w:t>
      </w:r>
    </w:p>
    <w:p w:rsidR="005A0FD4" w:rsidRPr="00213514" w:rsidRDefault="00C40395" w:rsidP="00E4232D">
      <w:pPr>
        <w:spacing w:line="276" w:lineRule="auto"/>
        <w:ind w:right="10"/>
        <w:jc w:val="center"/>
        <w:rPr>
          <w:b/>
          <w:i/>
          <w:sz w:val="44"/>
          <w:szCs w:val="44"/>
        </w:rPr>
      </w:pPr>
      <w:r>
        <w:rPr>
          <w:b/>
          <w:i/>
          <w:sz w:val="44"/>
          <w:szCs w:val="44"/>
        </w:rPr>
        <w:t>Section 1</w:t>
      </w:r>
      <w:r w:rsidR="00E4232D">
        <w:rPr>
          <w:b/>
          <w:i/>
          <w:sz w:val="44"/>
          <w:szCs w:val="44"/>
        </w:rPr>
        <w:t>04</w:t>
      </w:r>
      <w:r w:rsidR="00213514" w:rsidRPr="00213514">
        <w:rPr>
          <w:b/>
          <w:i/>
          <w:sz w:val="44"/>
          <w:szCs w:val="44"/>
        </w:rPr>
        <w:t xml:space="preserve">: </w:t>
      </w:r>
      <w:r w:rsidR="00E4232D" w:rsidRPr="00E4232D">
        <w:rPr>
          <w:b/>
          <w:i/>
          <w:sz w:val="44"/>
          <w:szCs w:val="44"/>
        </w:rPr>
        <w:t>Test for t</w:t>
      </w:r>
      <w:r w:rsidR="00E4232D">
        <w:rPr>
          <w:b/>
          <w:i/>
          <w:sz w:val="44"/>
          <w:szCs w:val="44"/>
        </w:rPr>
        <w:t xml:space="preserve">he stability of the capacitance </w:t>
      </w:r>
      <w:r w:rsidR="00E4232D" w:rsidRPr="00E4232D">
        <w:rPr>
          <w:b/>
          <w:i/>
          <w:sz w:val="44"/>
          <w:szCs w:val="44"/>
        </w:rPr>
        <w:t>of</w:t>
      </w:r>
      <w:r w:rsidR="00E4232D">
        <w:rPr>
          <w:b/>
          <w:i/>
          <w:sz w:val="44"/>
          <w:szCs w:val="44"/>
        </w:rPr>
        <w:t xml:space="preserve"> </w:t>
      </w:r>
      <w:r w:rsidR="00E4232D" w:rsidRPr="00E4232D">
        <w:rPr>
          <w:b/>
          <w:i/>
          <w:sz w:val="44"/>
          <w:szCs w:val="44"/>
        </w:rPr>
        <w:t>cable versus temperature</w:t>
      </w:r>
    </w:p>
    <w:p w:rsidR="00EF76D7" w:rsidRPr="004D5221" w:rsidRDefault="006327A3" w:rsidP="004D5221">
      <w:pPr>
        <w:spacing w:line="276" w:lineRule="auto"/>
        <w:ind w:right="10"/>
        <w:jc w:val="center"/>
        <w:rPr>
          <w:b/>
          <w:i/>
          <w:sz w:val="36"/>
          <w:szCs w:val="36"/>
        </w:rPr>
      </w:pPr>
      <w:r w:rsidRPr="00213514">
        <w:rPr>
          <w:b/>
          <w:i/>
          <w:sz w:val="36"/>
          <w:szCs w:val="36"/>
        </w:rPr>
        <w:t>(</w:t>
      </w:r>
      <w:r w:rsidRPr="00213514">
        <w:rPr>
          <w:b/>
          <w:i/>
          <w:color w:val="000000" w:themeColor="text1"/>
          <w:sz w:val="36"/>
          <w:szCs w:val="36"/>
        </w:rPr>
        <w:t xml:space="preserve">First </w:t>
      </w:r>
      <w:r w:rsidRPr="00213514">
        <w:rPr>
          <w:b/>
          <w:i/>
          <w:sz w:val="36"/>
          <w:szCs w:val="36"/>
        </w:rPr>
        <w:t>Revision)</w:t>
      </w:r>
    </w:p>
    <w:p w:rsidR="003C3285" w:rsidRDefault="003C3285" w:rsidP="00533910">
      <w:pPr>
        <w:ind w:right="10"/>
        <w:jc w:val="center"/>
        <w:rPr>
          <w:rFonts w:ascii="Arial" w:hAnsi="Arial" w:cs="Arial"/>
          <w:sz w:val="24"/>
        </w:rPr>
      </w:pPr>
    </w:p>
    <w:p w:rsidR="003C3285" w:rsidRPr="00213514" w:rsidRDefault="003C3285" w:rsidP="00533910">
      <w:pPr>
        <w:ind w:right="10"/>
        <w:jc w:val="center"/>
        <w:rPr>
          <w:rFonts w:ascii="Arial" w:hAnsi="Arial" w:cs="Arial"/>
          <w:sz w:val="28"/>
          <w:szCs w:val="24"/>
        </w:rPr>
      </w:pPr>
    </w:p>
    <w:p w:rsidR="004671A9" w:rsidRDefault="00BC607F" w:rsidP="00533910">
      <w:pPr>
        <w:ind w:right="10"/>
        <w:jc w:val="center"/>
        <w:rPr>
          <w:b/>
          <w:bCs/>
          <w:sz w:val="24"/>
          <w:szCs w:val="24"/>
        </w:rPr>
      </w:pPr>
      <w:r w:rsidRPr="00213514">
        <w:rPr>
          <w:b/>
          <w:bCs/>
          <w:sz w:val="28"/>
          <w:szCs w:val="24"/>
        </w:rPr>
        <w:t>ICS 33.120.10</w:t>
      </w:r>
    </w:p>
    <w:p w:rsidR="004D5221" w:rsidRDefault="004D5221" w:rsidP="00533910">
      <w:pPr>
        <w:ind w:right="10"/>
        <w:jc w:val="center"/>
        <w:rPr>
          <w:b/>
          <w:bCs/>
          <w:sz w:val="24"/>
          <w:szCs w:val="24"/>
        </w:rPr>
      </w:pPr>
    </w:p>
    <w:p w:rsidR="004D5221" w:rsidRDefault="004D5221" w:rsidP="00533910">
      <w:pPr>
        <w:ind w:right="10"/>
        <w:jc w:val="center"/>
        <w:rPr>
          <w:b/>
          <w:bCs/>
          <w:sz w:val="24"/>
          <w:szCs w:val="24"/>
        </w:rPr>
      </w:pPr>
    </w:p>
    <w:p w:rsidR="004D5221" w:rsidRDefault="004D5221" w:rsidP="00533910">
      <w:pPr>
        <w:ind w:right="10"/>
        <w:jc w:val="center"/>
        <w:rPr>
          <w:b/>
          <w:bCs/>
          <w:sz w:val="24"/>
          <w:szCs w:val="24"/>
        </w:rPr>
      </w:pPr>
      <w:r>
        <w:rPr>
          <w:b/>
          <w:bCs/>
          <w:sz w:val="24"/>
          <w:szCs w:val="24"/>
        </w:rPr>
        <w:t>©BIS 2024</w:t>
      </w:r>
    </w:p>
    <w:p w:rsidR="004D5221" w:rsidRDefault="0007618B" w:rsidP="004D5221">
      <w:pPr>
        <w:ind w:right="10"/>
        <w:jc w:val="center"/>
        <w:rPr>
          <w:b/>
          <w:bCs/>
          <w:sz w:val="24"/>
          <w:szCs w:val="24"/>
        </w:rPr>
      </w:pPr>
      <w:r>
        <w:rPr>
          <w:b/>
          <w:bCs/>
          <w:sz w:val="24"/>
          <w:szCs w:val="24"/>
        </w:rPr>
        <w:t>©IEC 2015</w:t>
      </w:r>
    </w:p>
    <w:p w:rsidR="004D5221" w:rsidRPr="00213514" w:rsidRDefault="004D5221" w:rsidP="00533910">
      <w:pPr>
        <w:ind w:right="10"/>
        <w:jc w:val="center"/>
        <w:rPr>
          <w:b/>
          <w:bCs/>
          <w:sz w:val="24"/>
          <w:szCs w:val="24"/>
        </w:rPr>
      </w:pPr>
    </w:p>
    <w:p w:rsidR="00213514" w:rsidRPr="00120B60" w:rsidRDefault="00213514" w:rsidP="00533910">
      <w:pPr>
        <w:ind w:right="10"/>
        <w:jc w:val="center"/>
        <w:rPr>
          <w:rFonts w:ascii="Arial" w:hAnsi="Arial" w:cs="Arial"/>
        </w:rPr>
      </w:pPr>
    </w:p>
    <w:p w:rsidR="00EF76D7" w:rsidRDefault="00EF76D7" w:rsidP="005A0FD4">
      <w:pPr>
        <w:spacing w:line="480" w:lineRule="auto"/>
        <w:ind w:right="10"/>
        <w:jc w:val="center"/>
        <w:rPr>
          <w:sz w:val="24"/>
          <w:szCs w:val="24"/>
        </w:rPr>
      </w:pPr>
    </w:p>
    <w:p w:rsidR="00213514" w:rsidRDefault="00213514" w:rsidP="005A0FD4">
      <w:pPr>
        <w:spacing w:line="480" w:lineRule="auto"/>
        <w:ind w:right="10"/>
        <w:jc w:val="center"/>
        <w:rPr>
          <w:sz w:val="24"/>
          <w:szCs w:val="24"/>
        </w:rPr>
      </w:pPr>
    </w:p>
    <w:p w:rsidR="00213514" w:rsidRDefault="00213514" w:rsidP="005A0FD4">
      <w:pPr>
        <w:spacing w:line="480" w:lineRule="auto"/>
        <w:ind w:right="10"/>
        <w:jc w:val="center"/>
        <w:rPr>
          <w:sz w:val="24"/>
          <w:szCs w:val="24"/>
        </w:rPr>
      </w:pPr>
    </w:p>
    <w:p w:rsidR="001A6566" w:rsidRDefault="001A6566" w:rsidP="005A0FD4">
      <w:pPr>
        <w:spacing w:line="480" w:lineRule="auto"/>
        <w:ind w:right="10"/>
        <w:jc w:val="center"/>
        <w:rPr>
          <w:sz w:val="24"/>
          <w:szCs w:val="24"/>
        </w:rPr>
      </w:pPr>
    </w:p>
    <w:p w:rsidR="001A6566" w:rsidRDefault="001A6566" w:rsidP="005A0FD4">
      <w:pPr>
        <w:spacing w:line="480" w:lineRule="auto"/>
        <w:ind w:right="10"/>
        <w:jc w:val="center"/>
        <w:rPr>
          <w:sz w:val="24"/>
          <w:szCs w:val="24"/>
        </w:rPr>
      </w:pPr>
    </w:p>
    <w:p w:rsidR="001A6566" w:rsidRDefault="001A6566" w:rsidP="005A0FD4">
      <w:pPr>
        <w:spacing w:line="480" w:lineRule="auto"/>
        <w:ind w:right="10"/>
        <w:jc w:val="center"/>
        <w:rPr>
          <w:sz w:val="24"/>
          <w:szCs w:val="24"/>
        </w:rPr>
      </w:pPr>
    </w:p>
    <w:p w:rsidR="001A6566" w:rsidRDefault="001A6566" w:rsidP="005A0FD4">
      <w:pPr>
        <w:spacing w:line="480" w:lineRule="auto"/>
        <w:ind w:right="10"/>
        <w:jc w:val="center"/>
        <w:rPr>
          <w:sz w:val="24"/>
          <w:szCs w:val="24"/>
        </w:rPr>
      </w:pPr>
    </w:p>
    <w:p w:rsidR="00213514" w:rsidRPr="00EF76D7" w:rsidRDefault="001A6566" w:rsidP="001A6566">
      <w:pPr>
        <w:spacing w:line="480" w:lineRule="auto"/>
        <w:ind w:right="10"/>
        <w:rPr>
          <w:sz w:val="24"/>
          <w:szCs w:val="24"/>
        </w:rPr>
      </w:pPr>
      <w:r w:rsidRPr="00213514">
        <w:rPr>
          <w:sz w:val="24"/>
          <w:szCs w:val="24"/>
        </w:rPr>
        <w:t>Wires,</w:t>
      </w:r>
      <w:r w:rsidRPr="00213514">
        <w:rPr>
          <w:spacing w:val="6"/>
          <w:sz w:val="24"/>
          <w:szCs w:val="24"/>
        </w:rPr>
        <w:t xml:space="preserve"> </w:t>
      </w:r>
      <w:r w:rsidRPr="00213514">
        <w:rPr>
          <w:sz w:val="24"/>
          <w:szCs w:val="24"/>
        </w:rPr>
        <w:t>Cables,</w:t>
      </w:r>
      <w:r w:rsidRPr="00213514">
        <w:rPr>
          <w:spacing w:val="6"/>
          <w:sz w:val="24"/>
          <w:szCs w:val="24"/>
        </w:rPr>
        <w:t xml:space="preserve"> </w:t>
      </w:r>
      <w:r w:rsidRPr="00213514">
        <w:rPr>
          <w:sz w:val="24"/>
          <w:szCs w:val="24"/>
        </w:rPr>
        <w:t>Waveguides</w:t>
      </w:r>
      <w:r w:rsidRPr="00213514">
        <w:rPr>
          <w:spacing w:val="6"/>
          <w:sz w:val="24"/>
          <w:szCs w:val="24"/>
        </w:rPr>
        <w:t xml:space="preserve"> </w:t>
      </w:r>
      <w:r w:rsidRPr="00213514">
        <w:rPr>
          <w:sz w:val="24"/>
          <w:szCs w:val="24"/>
        </w:rPr>
        <w:t>&amp;</w:t>
      </w:r>
      <w:r w:rsidRPr="00213514">
        <w:rPr>
          <w:spacing w:val="6"/>
          <w:sz w:val="24"/>
          <w:szCs w:val="24"/>
        </w:rPr>
        <w:t xml:space="preserve"> </w:t>
      </w:r>
      <w:r w:rsidRPr="00213514">
        <w:rPr>
          <w:sz w:val="24"/>
          <w:szCs w:val="24"/>
        </w:rPr>
        <w:t>Accessories Sectional Committee, LITD 06</w:t>
      </w:r>
    </w:p>
    <w:p w:rsidR="004671A9" w:rsidRPr="0022492A" w:rsidRDefault="00103A02" w:rsidP="0022492A">
      <w:pPr>
        <w:pStyle w:val="BodyText"/>
        <w:spacing w:before="90"/>
        <w:ind w:right="10"/>
        <w:rPr>
          <w:b/>
          <w:bCs/>
        </w:rPr>
      </w:pPr>
      <w:r w:rsidRPr="0022492A">
        <w:rPr>
          <w:b/>
          <w:bCs/>
        </w:rPr>
        <w:t>NATIONAL</w:t>
      </w:r>
      <w:r w:rsidRPr="0022492A">
        <w:rPr>
          <w:b/>
          <w:bCs/>
          <w:spacing w:val="-2"/>
        </w:rPr>
        <w:t xml:space="preserve"> </w:t>
      </w:r>
      <w:r w:rsidRPr="0022492A">
        <w:rPr>
          <w:b/>
          <w:bCs/>
        </w:rPr>
        <w:t>FOREWORD</w:t>
      </w:r>
    </w:p>
    <w:p w:rsidR="0022492A" w:rsidRDefault="0022492A" w:rsidP="00BB47B4">
      <w:pPr>
        <w:pStyle w:val="BodyText"/>
        <w:spacing w:line="276" w:lineRule="auto"/>
        <w:ind w:right="20"/>
        <w:jc w:val="both"/>
        <w:rPr>
          <w:spacing w:val="-1"/>
        </w:rPr>
      </w:pPr>
    </w:p>
    <w:p w:rsidR="00BB47B4" w:rsidRDefault="00BB47B4" w:rsidP="00F069ED">
      <w:pPr>
        <w:pStyle w:val="BodyText"/>
        <w:ind w:right="20"/>
        <w:jc w:val="both"/>
      </w:pPr>
      <w:r>
        <w:rPr>
          <w:spacing w:val="-1"/>
        </w:rPr>
        <w:t>This</w:t>
      </w:r>
      <w:r>
        <w:rPr>
          <w:spacing w:val="-12"/>
        </w:rPr>
        <w:t xml:space="preserve"> </w:t>
      </w:r>
      <w:r>
        <w:t>Indian</w:t>
      </w:r>
      <w:r>
        <w:rPr>
          <w:spacing w:val="-13"/>
        </w:rPr>
        <w:t xml:space="preserve"> </w:t>
      </w:r>
      <w:r>
        <w:t>Standard</w:t>
      </w:r>
      <w:r w:rsidR="00BC607F">
        <w:t xml:space="preserve"> </w:t>
      </w:r>
      <w:r w:rsidRPr="00AA68B4">
        <w:t>(Part</w:t>
      </w:r>
      <w:r w:rsidRPr="00AA68B4">
        <w:rPr>
          <w:spacing w:val="-13"/>
        </w:rPr>
        <w:t xml:space="preserve"> </w:t>
      </w:r>
      <w:r w:rsidR="00FA5766">
        <w:t>1</w:t>
      </w:r>
      <w:r w:rsidR="00BC607F" w:rsidRPr="00AA68B4">
        <w:t xml:space="preserve">/Sec </w:t>
      </w:r>
      <w:r w:rsidR="001A6566">
        <w:t>1</w:t>
      </w:r>
      <w:r w:rsidR="00FA5766">
        <w:t>04</w:t>
      </w:r>
      <w:r w:rsidRPr="00AA68B4">
        <w:t>)</w:t>
      </w:r>
      <w:r w:rsidR="00772DF3">
        <w:rPr>
          <w:spacing w:val="-16"/>
        </w:rPr>
        <w:t xml:space="preserve"> </w:t>
      </w:r>
      <w:r w:rsidR="00772DF3">
        <w:rPr>
          <w:rStyle w:val="Heading1Char"/>
          <w:b w:val="0"/>
          <w:bCs w:val="0"/>
        </w:rPr>
        <w:t>(</w:t>
      </w:r>
      <w:r w:rsidR="00772DF3" w:rsidRPr="00772DF3">
        <w:rPr>
          <w:rStyle w:val="Heading1Char"/>
          <w:b w:val="0"/>
          <w:bCs w:val="0"/>
        </w:rPr>
        <w:t>First Revision</w:t>
      </w:r>
      <w:r w:rsidR="00772DF3">
        <w:rPr>
          <w:rStyle w:val="Heading1Char"/>
          <w:b w:val="0"/>
          <w:bCs w:val="0"/>
        </w:rPr>
        <w:t>)</w:t>
      </w:r>
      <w:r w:rsidR="00772DF3">
        <w:rPr>
          <w:spacing w:val="-16"/>
        </w:rPr>
        <w:t xml:space="preserve"> </w:t>
      </w:r>
      <w:r>
        <w:t>which</w:t>
      </w:r>
      <w:r>
        <w:rPr>
          <w:spacing w:val="-13"/>
        </w:rPr>
        <w:t xml:space="preserve"> </w:t>
      </w:r>
      <w:r>
        <w:t>is</w:t>
      </w:r>
      <w:r>
        <w:rPr>
          <w:spacing w:val="-11"/>
        </w:rPr>
        <w:t xml:space="preserve"> </w:t>
      </w:r>
      <w:r>
        <w:t>identical</w:t>
      </w:r>
      <w:r>
        <w:rPr>
          <w:spacing w:val="-12"/>
        </w:rPr>
        <w:t xml:space="preserve"> </w:t>
      </w:r>
      <w:r w:rsidR="00550067">
        <w:t>to</w:t>
      </w:r>
      <w:r>
        <w:rPr>
          <w:spacing w:val="-7"/>
        </w:rPr>
        <w:t xml:space="preserve"> </w:t>
      </w:r>
      <w:r w:rsidR="00F069ED">
        <w:t>IEC 61196-1</w:t>
      </w:r>
      <w:r w:rsidR="001A6566">
        <w:t>-1</w:t>
      </w:r>
      <w:r w:rsidR="00F069ED">
        <w:t>04:2015</w:t>
      </w:r>
      <w:r w:rsidR="001A6566">
        <w:t xml:space="preserve"> ‘</w:t>
      </w:r>
      <w:r w:rsidR="00F069ED">
        <w:t>Coaxial communication cables –</w:t>
      </w:r>
      <w:r w:rsidR="00F069ED">
        <w:t xml:space="preserve"> </w:t>
      </w:r>
      <w:r w:rsidR="00F069ED">
        <w:t>Part 1-104: Electrical test methods – Test for the stability of the capacitance of</w:t>
      </w:r>
      <w:r w:rsidR="00F069ED">
        <w:t xml:space="preserve"> </w:t>
      </w:r>
      <w:r w:rsidR="00F069ED">
        <w:t>cable versus temperature</w:t>
      </w:r>
      <w:r>
        <w:t>’</w:t>
      </w:r>
      <w:r>
        <w:rPr>
          <w:spacing w:val="1"/>
        </w:rPr>
        <w:t xml:space="preserve"> </w:t>
      </w:r>
      <w:r>
        <w:t>issued</w:t>
      </w:r>
      <w:r>
        <w:rPr>
          <w:spacing w:val="1"/>
        </w:rPr>
        <w:t xml:space="preserve"> </w:t>
      </w:r>
      <w:r>
        <w:t>by</w:t>
      </w:r>
      <w:r>
        <w:rPr>
          <w:spacing w:val="1"/>
        </w:rPr>
        <w:t xml:space="preserve"> </w:t>
      </w:r>
      <w:r>
        <w:t>the</w:t>
      </w:r>
      <w:r>
        <w:rPr>
          <w:spacing w:val="1"/>
        </w:rPr>
        <w:t xml:space="preserve"> </w:t>
      </w:r>
      <w:r>
        <w:t>International</w:t>
      </w:r>
      <w:r>
        <w:rPr>
          <w:spacing w:val="1"/>
        </w:rPr>
        <w:t xml:space="preserve"> </w:t>
      </w:r>
      <w:r>
        <w:t>El</w:t>
      </w:r>
      <w:r w:rsidR="00445932">
        <w:t xml:space="preserve">ectrotechnical Commission (IEC) was </w:t>
      </w:r>
      <w:r>
        <w:t>adopted by the Bureau of Indian</w:t>
      </w:r>
      <w:r>
        <w:rPr>
          <w:spacing w:val="1"/>
        </w:rPr>
        <w:t xml:space="preserve"> </w:t>
      </w:r>
      <w:r>
        <w:t>Standards on the</w:t>
      </w:r>
      <w:r>
        <w:rPr>
          <w:spacing w:val="1"/>
        </w:rPr>
        <w:t xml:space="preserve"> </w:t>
      </w:r>
      <w:r>
        <w:t>recommendations</w:t>
      </w:r>
      <w:r>
        <w:rPr>
          <w:spacing w:val="1"/>
        </w:rPr>
        <w:t xml:space="preserve"> </w:t>
      </w:r>
      <w:r>
        <w:t>of</w:t>
      </w:r>
      <w:r>
        <w:rPr>
          <w:spacing w:val="1"/>
        </w:rPr>
        <w:t xml:space="preserve"> </w:t>
      </w:r>
      <w:r>
        <w:t xml:space="preserve">the </w:t>
      </w:r>
      <w:r w:rsidR="00213514" w:rsidRPr="00213514">
        <w:t>Wires, Cables, Waveguides &amp; Accessories Sectional Committee</w:t>
      </w:r>
      <w:r>
        <w:t xml:space="preserve"> and approval of the Electronics and</w:t>
      </w:r>
      <w:r>
        <w:rPr>
          <w:spacing w:val="1"/>
        </w:rPr>
        <w:t xml:space="preserve"> </w:t>
      </w:r>
      <w:r>
        <w:t>Information Technology</w:t>
      </w:r>
      <w:r>
        <w:rPr>
          <w:spacing w:val="1"/>
        </w:rPr>
        <w:t xml:space="preserve"> </w:t>
      </w:r>
      <w:r>
        <w:t>Division Council.</w:t>
      </w:r>
    </w:p>
    <w:p w:rsidR="008B5B29" w:rsidRDefault="00445932" w:rsidP="008B5B29">
      <w:pPr>
        <w:pStyle w:val="BodyText"/>
        <w:spacing w:before="201"/>
        <w:ind w:right="20"/>
        <w:jc w:val="both"/>
      </w:pPr>
      <w:r>
        <w:t>This stan</w:t>
      </w:r>
      <w:r w:rsidR="001A51FA">
        <w:t>dard was first published in 2012</w:t>
      </w:r>
      <w:r>
        <w:t xml:space="preserve"> and was identical to </w:t>
      </w:r>
      <w:r w:rsidR="00446568">
        <w:t>IEC 61196-1-104</w:t>
      </w:r>
      <w:r w:rsidR="00446568" w:rsidRPr="00446568">
        <w:t>: 2005</w:t>
      </w:r>
      <w:r w:rsidR="008B5B29">
        <w:t>. The first revision of this standard has been undertaken to align it with t</w:t>
      </w:r>
      <w:r w:rsidR="007E5D12">
        <w:t>he latest version of IEC 61196-1</w:t>
      </w:r>
      <w:r w:rsidR="008B5B29">
        <w:t>-1</w:t>
      </w:r>
      <w:r w:rsidR="007E5D12">
        <w:t>04: 2015</w:t>
      </w:r>
      <w:r w:rsidR="008B5B29">
        <w:t>.</w:t>
      </w:r>
    </w:p>
    <w:p w:rsidR="008B5B29" w:rsidRDefault="008B5B29" w:rsidP="008B5B29">
      <w:pPr>
        <w:pStyle w:val="BodyText"/>
        <w:ind w:right="20"/>
        <w:jc w:val="both"/>
      </w:pPr>
    </w:p>
    <w:p w:rsidR="002B1C17" w:rsidRDefault="008B5B29" w:rsidP="002B1C17">
      <w:pPr>
        <w:pStyle w:val="BodyText"/>
        <w:ind w:right="20"/>
        <w:jc w:val="both"/>
      </w:pPr>
      <w:r>
        <w:t>This edition includes the following significant technical changes with respect to the previous edition:</w:t>
      </w:r>
    </w:p>
    <w:p w:rsidR="002B1C17" w:rsidRDefault="002B1C17" w:rsidP="002B1C17">
      <w:pPr>
        <w:pStyle w:val="BodyText"/>
        <w:ind w:right="20"/>
        <w:jc w:val="both"/>
      </w:pPr>
      <w:r>
        <w:t>a) Subclause 4.2, Requirements for the test sample;</w:t>
      </w:r>
    </w:p>
    <w:p w:rsidR="002B1C17" w:rsidRDefault="002B1C17" w:rsidP="002B1C17">
      <w:pPr>
        <w:pStyle w:val="BodyText"/>
        <w:ind w:right="20"/>
        <w:jc w:val="both"/>
      </w:pPr>
      <w:r>
        <w:t>b) Change in the title of Part 1-104.</w:t>
      </w:r>
      <w:r>
        <w:t xml:space="preserve"> </w:t>
      </w:r>
    </w:p>
    <w:p w:rsidR="00BB47B4" w:rsidRDefault="008B5B29" w:rsidP="002B1C17">
      <w:pPr>
        <w:pStyle w:val="BodyText"/>
        <w:spacing w:before="201"/>
        <w:ind w:right="20"/>
        <w:jc w:val="both"/>
      </w:pPr>
      <w:r>
        <w:t xml:space="preserve">The text of IEC Standard has been </w:t>
      </w:r>
      <w:r w:rsidR="00BB47B4">
        <w:t>approved as suitable for publication as an Indian Standard</w:t>
      </w:r>
      <w:r w:rsidR="00BB47B4">
        <w:rPr>
          <w:spacing w:val="1"/>
        </w:rPr>
        <w:t xml:space="preserve"> </w:t>
      </w:r>
      <w:r w:rsidR="00BB47B4">
        <w:t>without deviations. Certain conventions and terminologies are, however, not identical to those</w:t>
      </w:r>
      <w:r w:rsidR="00BB47B4">
        <w:rPr>
          <w:spacing w:val="1"/>
        </w:rPr>
        <w:t xml:space="preserve"> </w:t>
      </w:r>
      <w:r w:rsidR="00BB47B4">
        <w:t>used</w:t>
      </w:r>
      <w:r w:rsidR="00BB47B4">
        <w:rPr>
          <w:spacing w:val="-1"/>
        </w:rPr>
        <w:t xml:space="preserve"> </w:t>
      </w:r>
      <w:r w:rsidR="00BB47B4">
        <w:t>in</w:t>
      </w:r>
      <w:r w:rsidR="00BB47B4">
        <w:rPr>
          <w:spacing w:val="2"/>
        </w:rPr>
        <w:t xml:space="preserve"> </w:t>
      </w:r>
      <w:r w:rsidR="00BB47B4">
        <w:t>Indian Standards. Attention is particularly</w:t>
      </w:r>
      <w:r w:rsidR="00BB47B4">
        <w:rPr>
          <w:spacing w:val="-4"/>
        </w:rPr>
        <w:t xml:space="preserve"> </w:t>
      </w:r>
      <w:r w:rsidR="00BB47B4">
        <w:t>drawn to the</w:t>
      </w:r>
      <w:r w:rsidR="00BB47B4">
        <w:rPr>
          <w:spacing w:val="-1"/>
        </w:rPr>
        <w:t xml:space="preserve"> </w:t>
      </w:r>
      <w:r w:rsidR="00BB47B4">
        <w:t>following:</w:t>
      </w:r>
    </w:p>
    <w:p w:rsidR="00BB47B4" w:rsidRDefault="00BB47B4" w:rsidP="00BB47B4">
      <w:pPr>
        <w:pStyle w:val="ListParagraph"/>
        <w:numPr>
          <w:ilvl w:val="0"/>
          <w:numId w:val="2"/>
        </w:numPr>
        <w:tabs>
          <w:tab w:val="left" w:pos="540"/>
        </w:tabs>
        <w:spacing w:before="198"/>
        <w:ind w:left="0" w:right="20" w:firstLine="0"/>
        <w:rPr>
          <w:sz w:val="24"/>
        </w:rPr>
      </w:pPr>
      <w:r>
        <w:rPr>
          <w:sz w:val="24"/>
        </w:rPr>
        <w:t>Wherever</w:t>
      </w:r>
      <w:r>
        <w:rPr>
          <w:spacing w:val="-6"/>
          <w:sz w:val="24"/>
        </w:rPr>
        <w:t xml:space="preserve"> </w:t>
      </w:r>
      <w:r>
        <w:rPr>
          <w:sz w:val="24"/>
        </w:rPr>
        <w:t>the</w:t>
      </w:r>
      <w:r>
        <w:rPr>
          <w:spacing w:val="-3"/>
          <w:sz w:val="24"/>
        </w:rPr>
        <w:t xml:space="preserve"> </w:t>
      </w:r>
      <w:r>
        <w:rPr>
          <w:sz w:val="24"/>
        </w:rPr>
        <w:t>words</w:t>
      </w:r>
      <w:r>
        <w:rPr>
          <w:spacing w:val="-4"/>
          <w:sz w:val="24"/>
        </w:rPr>
        <w:t xml:space="preserve"> </w:t>
      </w:r>
      <w:r>
        <w:rPr>
          <w:sz w:val="24"/>
        </w:rPr>
        <w:t>‘International</w:t>
      </w:r>
      <w:r>
        <w:rPr>
          <w:spacing w:val="-4"/>
          <w:sz w:val="24"/>
        </w:rPr>
        <w:t xml:space="preserve"> </w:t>
      </w:r>
      <w:r>
        <w:rPr>
          <w:sz w:val="24"/>
        </w:rPr>
        <w:t>Standard’</w:t>
      </w:r>
      <w:r>
        <w:rPr>
          <w:spacing w:val="-3"/>
          <w:sz w:val="24"/>
        </w:rPr>
        <w:t xml:space="preserve"> </w:t>
      </w:r>
      <w:r>
        <w:rPr>
          <w:sz w:val="24"/>
        </w:rPr>
        <w:t>appear</w:t>
      </w:r>
      <w:r>
        <w:rPr>
          <w:spacing w:val="-6"/>
          <w:sz w:val="24"/>
        </w:rPr>
        <w:t xml:space="preserve"> </w:t>
      </w:r>
      <w:r>
        <w:rPr>
          <w:sz w:val="24"/>
        </w:rPr>
        <w:t>referring</w:t>
      </w:r>
      <w:r>
        <w:rPr>
          <w:spacing w:val="-7"/>
          <w:sz w:val="24"/>
        </w:rPr>
        <w:t xml:space="preserve"> </w:t>
      </w:r>
      <w:r>
        <w:rPr>
          <w:sz w:val="24"/>
        </w:rPr>
        <w:t>to</w:t>
      </w:r>
      <w:r>
        <w:rPr>
          <w:spacing w:val="-3"/>
          <w:sz w:val="24"/>
        </w:rPr>
        <w:t xml:space="preserve"> </w:t>
      </w:r>
      <w:r>
        <w:rPr>
          <w:sz w:val="24"/>
        </w:rPr>
        <w:t>this</w:t>
      </w:r>
      <w:r>
        <w:rPr>
          <w:spacing w:val="-5"/>
          <w:sz w:val="24"/>
        </w:rPr>
        <w:t xml:space="preserve"> </w:t>
      </w:r>
      <w:r>
        <w:rPr>
          <w:sz w:val="24"/>
        </w:rPr>
        <w:t>standard,</w:t>
      </w:r>
      <w:r>
        <w:rPr>
          <w:spacing w:val="-5"/>
          <w:sz w:val="24"/>
        </w:rPr>
        <w:t xml:space="preserve"> </w:t>
      </w:r>
      <w:r>
        <w:rPr>
          <w:sz w:val="24"/>
        </w:rPr>
        <w:t>they</w:t>
      </w:r>
      <w:r>
        <w:rPr>
          <w:spacing w:val="-10"/>
          <w:sz w:val="24"/>
        </w:rPr>
        <w:t xml:space="preserve"> </w:t>
      </w:r>
      <w:r>
        <w:rPr>
          <w:sz w:val="24"/>
        </w:rPr>
        <w:t>should</w:t>
      </w:r>
      <w:r>
        <w:rPr>
          <w:spacing w:val="-57"/>
          <w:sz w:val="24"/>
        </w:rPr>
        <w:t xml:space="preserve"> </w:t>
      </w:r>
      <w:r>
        <w:rPr>
          <w:sz w:val="24"/>
        </w:rPr>
        <w:t>be</w:t>
      </w:r>
      <w:r>
        <w:rPr>
          <w:spacing w:val="-2"/>
          <w:sz w:val="24"/>
        </w:rPr>
        <w:t xml:space="preserve"> </w:t>
      </w:r>
      <w:r>
        <w:rPr>
          <w:sz w:val="24"/>
        </w:rPr>
        <w:t>read</w:t>
      </w:r>
      <w:r>
        <w:rPr>
          <w:spacing w:val="2"/>
          <w:sz w:val="24"/>
        </w:rPr>
        <w:t xml:space="preserve"> </w:t>
      </w:r>
      <w:r>
        <w:rPr>
          <w:sz w:val="24"/>
        </w:rPr>
        <w:t>as</w:t>
      </w:r>
      <w:r>
        <w:rPr>
          <w:spacing w:val="-1"/>
          <w:sz w:val="24"/>
        </w:rPr>
        <w:t xml:space="preserve"> </w:t>
      </w:r>
      <w:r>
        <w:rPr>
          <w:sz w:val="24"/>
        </w:rPr>
        <w:t>‘Indian Standard’, and</w:t>
      </w:r>
    </w:p>
    <w:p w:rsidR="00BB47B4" w:rsidRPr="004D1110" w:rsidRDefault="00BB47B4" w:rsidP="00BB47B4">
      <w:pPr>
        <w:pStyle w:val="BodyText"/>
        <w:spacing w:before="11"/>
        <w:ind w:right="20"/>
        <w:rPr>
          <w:sz w:val="16"/>
          <w:szCs w:val="16"/>
        </w:rPr>
      </w:pPr>
    </w:p>
    <w:p w:rsidR="00222568" w:rsidRPr="00222568" w:rsidRDefault="00BB47B4" w:rsidP="00222568">
      <w:pPr>
        <w:pStyle w:val="ListParagraph"/>
        <w:numPr>
          <w:ilvl w:val="0"/>
          <w:numId w:val="2"/>
        </w:numPr>
        <w:tabs>
          <w:tab w:val="left" w:pos="540"/>
        </w:tabs>
        <w:spacing w:before="4"/>
        <w:ind w:left="0" w:right="10" w:firstLine="0"/>
        <w:rPr>
          <w:sz w:val="15"/>
        </w:rPr>
      </w:pPr>
      <w:r>
        <w:rPr>
          <w:sz w:val="24"/>
        </w:rPr>
        <w:t>Comma</w:t>
      </w:r>
      <w:r w:rsidRPr="007A0AA7">
        <w:rPr>
          <w:spacing w:val="32"/>
          <w:sz w:val="24"/>
        </w:rPr>
        <w:t xml:space="preserve"> </w:t>
      </w:r>
      <w:r>
        <w:rPr>
          <w:sz w:val="24"/>
        </w:rPr>
        <w:t>(,)</w:t>
      </w:r>
      <w:r w:rsidRPr="007A0AA7">
        <w:rPr>
          <w:spacing w:val="33"/>
          <w:sz w:val="24"/>
        </w:rPr>
        <w:t xml:space="preserve"> </w:t>
      </w:r>
      <w:r>
        <w:rPr>
          <w:sz w:val="24"/>
        </w:rPr>
        <w:t>has</w:t>
      </w:r>
      <w:r w:rsidRPr="007A0AA7">
        <w:rPr>
          <w:spacing w:val="34"/>
          <w:sz w:val="24"/>
        </w:rPr>
        <w:t xml:space="preserve"> </w:t>
      </w:r>
      <w:r>
        <w:rPr>
          <w:sz w:val="24"/>
        </w:rPr>
        <w:t>been</w:t>
      </w:r>
      <w:r w:rsidRPr="007A0AA7">
        <w:rPr>
          <w:spacing w:val="34"/>
          <w:sz w:val="24"/>
        </w:rPr>
        <w:t xml:space="preserve"> </w:t>
      </w:r>
      <w:r>
        <w:rPr>
          <w:sz w:val="24"/>
        </w:rPr>
        <w:t>used</w:t>
      </w:r>
      <w:r w:rsidRPr="007A0AA7">
        <w:rPr>
          <w:spacing w:val="33"/>
          <w:sz w:val="24"/>
        </w:rPr>
        <w:t xml:space="preserve"> </w:t>
      </w:r>
      <w:r>
        <w:rPr>
          <w:sz w:val="24"/>
        </w:rPr>
        <w:t>as</w:t>
      </w:r>
      <w:r w:rsidRPr="007A0AA7">
        <w:rPr>
          <w:spacing w:val="35"/>
          <w:sz w:val="24"/>
        </w:rPr>
        <w:t xml:space="preserve"> </w:t>
      </w:r>
      <w:r>
        <w:rPr>
          <w:sz w:val="24"/>
        </w:rPr>
        <w:t>a</w:t>
      </w:r>
      <w:r w:rsidRPr="007A0AA7">
        <w:rPr>
          <w:spacing w:val="32"/>
          <w:sz w:val="24"/>
        </w:rPr>
        <w:t xml:space="preserve"> </w:t>
      </w:r>
      <w:r>
        <w:rPr>
          <w:sz w:val="24"/>
        </w:rPr>
        <w:t>decimal</w:t>
      </w:r>
      <w:r w:rsidRPr="007A0AA7">
        <w:rPr>
          <w:spacing w:val="35"/>
          <w:sz w:val="24"/>
        </w:rPr>
        <w:t xml:space="preserve"> </w:t>
      </w:r>
      <w:r>
        <w:rPr>
          <w:sz w:val="24"/>
        </w:rPr>
        <w:t>marker</w:t>
      </w:r>
      <w:r w:rsidRPr="007A0AA7">
        <w:rPr>
          <w:spacing w:val="35"/>
          <w:sz w:val="24"/>
        </w:rPr>
        <w:t xml:space="preserve"> </w:t>
      </w:r>
      <w:r>
        <w:rPr>
          <w:sz w:val="24"/>
        </w:rPr>
        <w:t>while</w:t>
      </w:r>
      <w:r w:rsidRPr="007A0AA7">
        <w:rPr>
          <w:spacing w:val="34"/>
          <w:sz w:val="24"/>
        </w:rPr>
        <w:t xml:space="preserve"> </w:t>
      </w:r>
      <w:r>
        <w:rPr>
          <w:sz w:val="24"/>
        </w:rPr>
        <w:t>in</w:t>
      </w:r>
      <w:r w:rsidRPr="007A0AA7">
        <w:rPr>
          <w:spacing w:val="34"/>
          <w:sz w:val="24"/>
        </w:rPr>
        <w:t xml:space="preserve"> </w:t>
      </w:r>
      <w:r>
        <w:rPr>
          <w:sz w:val="24"/>
        </w:rPr>
        <w:t>Indian</w:t>
      </w:r>
      <w:r w:rsidRPr="007A0AA7">
        <w:rPr>
          <w:spacing w:val="34"/>
          <w:sz w:val="24"/>
        </w:rPr>
        <w:t xml:space="preserve"> </w:t>
      </w:r>
      <w:r>
        <w:rPr>
          <w:sz w:val="24"/>
        </w:rPr>
        <w:t>Standards,</w:t>
      </w:r>
      <w:r w:rsidRPr="007A0AA7">
        <w:rPr>
          <w:spacing w:val="34"/>
          <w:sz w:val="24"/>
        </w:rPr>
        <w:t xml:space="preserve"> </w:t>
      </w:r>
      <w:r>
        <w:rPr>
          <w:sz w:val="24"/>
        </w:rPr>
        <w:t>the</w:t>
      </w:r>
      <w:r w:rsidRPr="007A0AA7">
        <w:rPr>
          <w:spacing w:val="34"/>
          <w:sz w:val="24"/>
        </w:rPr>
        <w:t xml:space="preserve"> </w:t>
      </w:r>
      <w:r>
        <w:rPr>
          <w:sz w:val="24"/>
        </w:rPr>
        <w:t>current</w:t>
      </w:r>
      <w:r w:rsidRPr="007A0AA7">
        <w:rPr>
          <w:spacing w:val="-57"/>
          <w:sz w:val="24"/>
        </w:rPr>
        <w:t xml:space="preserve"> </w:t>
      </w:r>
      <w:r>
        <w:rPr>
          <w:sz w:val="24"/>
        </w:rPr>
        <w:t>practice</w:t>
      </w:r>
      <w:r w:rsidRPr="007A0AA7">
        <w:rPr>
          <w:spacing w:val="-2"/>
          <w:sz w:val="24"/>
        </w:rPr>
        <w:t xml:space="preserve"> </w:t>
      </w:r>
      <w:r>
        <w:rPr>
          <w:sz w:val="24"/>
        </w:rPr>
        <w:t>is to use</w:t>
      </w:r>
      <w:r w:rsidRPr="007A0AA7">
        <w:rPr>
          <w:spacing w:val="1"/>
          <w:sz w:val="24"/>
        </w:rPr>
        <w:t xml:space="preserve"> </w:t>
      </w:r>
      <w:r>
        <w:rPr>
          <w:sz w:val="24"/>
        </w:rPr>
        <w:t>a</w:t>
      </w:r>
      <w:r w:rsidRPr="007A0AA7">
        <w:rPr>
          <w:spacing w:val="-1"/>
          <w:sz w:val="24"/>
        </w:rPr>
        <w:t xml:space="preserve"> </w:t>
      </w:r>
      <w:r>
        <w:rPr>
          <w:sz w:val="24"/>
        </w:rPr>
        <w:t>point (.)</w:t>
      </w:r>
      <w:r w:rsidRPr="007A0AA7">
        <w:rPr>
          <w:spacing w:val="-2"/>
          <w:sz w:val="24"/>
        </w:rPr>
        <w:t xml:space="preserve"> </w:t>
      </w:r>
      <w:r>
        <w:rPr>
          <w:sz w:val="24"/>
        </w:rPr>
        <w:t>as the decimal</w:t>
      </w:r>
      <w:r w:rsidRPr="007A0AA7">
        <w:rPr>
          <w:spacing w:val="-1"/>
          <w:sz w:val="24"/>
        </w:rPr>
        <w:t xml:space="preserve"> </w:t>
      </w:r>
      <w:r>
        <w:rPr>
          <w:sz w:val="24"/>
        </w:rPr>
        <w:t>marker.</w:t>
      </w:r>
    </w:p>
    <w:p w:rsidR="00222568" w:rsidRDefault="00222568" w:rsidP="00222568">
      <w:pPr>
        <w:pStyle w:val="ListParagraph"/>
      </w:pPr>
    </w:p>
    <w:p w:rsidR="004671A9" w:rsidRPr="00A90FBB" w:rsidRDefault="00103A02" w:rsidP="00DD672A">
      <w:pPr>
        <w:pStyle w:val="ListParagraph"/>
        <w:tabs>
          <w:tab w:val="left" w:pos="540"/>
        </w:tabs>
        <w:spacing w:before="4"/>
        <w:ind w:right="10"/>
        <w:jc w:val="both"/>
        <w:rPr>
          <w:sz w:val="24"/>
          <w:szCs w:val="24"/>
        </w:rPr>
      </w:pPr>
      <w:r w:rsidRPr="00A90FBB">
        <w:rPr>
          <w:sz w:val="24"/>
          <w:szCs w:val="24"/>
        </w:rPr>
        <w:t>In this draft adopted standard, reference appears to the following International Standard for</w:t>
      </w:r>
      <w:r w:rsidRPr="00A90FBB">
        <w:rPr>
          <w:spacing w:val="1"/>
          <w:sz w:val="24"/>
          <w:szCs w:val="24"/>
        </w:rPr>
        <w:t xml:space="preserve"> </w:t>
      </w:r>
      <w:r w:rsidRPr="00A90FBB">
        <w:rPr>
          <w:sz w:val="24"/>
          <w:szCs w:val="24"/>
        </w:rPr>
        <w:t>which</w:t>
      </w:r>
      <w:r w:rsidRPr="00A90FBB">
        <w:rPr>
          <w:spacing w:val="1"/>
          <w:sz w:val="24"/>
          <w:szCs w:val="24"/>
        </w:rPr>
        <w:t xml:space="preserve"> </w:t>
      </w:r>
      <w:r w:rsidRPr="00A90FBB">
        <w:rPr>
          <w:sz w:val="24"/>
          <w:szCs w:val="24"/>
        </w:rPr>
        <w:t>Indian</w:t>
      </w:r>
      <w:r w:rsidRPr="00A90FBB">
        <w:rPr>
          <w:spacing w:val="1"/>
          <w:sz w:val="24"/>
          <w:szCs w:val="24"/>
        </w:rPr>
        <w:t xml:space="preserve"> </w:t>
      </w:r>
      <w:r w:rsidRPr="00A90FBB">
        <w:rPr>
          <w:sz w:val="24"/>
          <w:szCs w:val="24"/>
        </w:rPr>
        <w:t>Standard</w:t>
      </w:r>
      <w:r w:rsidRPr="00A90FBB">
        <w:rPr>
          <w:spacing w:val="1"/>
          <w:sz w:val="24"/>
          <w:szCs w:val="24"/>
        </w:rPr>
        <w:t xml:space="preserve"> </w:t>
      </w:r>
      <w:r w:rsidRPr="00A90FBB">
        <w:rPr>
          <w:sz w:val="24"/>
          <w:szCs w:val="24"/>
        </w:rPr>
        <w:t>also</w:t>
      </w:r>
      <w:r w:rsidRPr="00A90FBB">
        <w:rPr>
          <w:spacing w:val="1"/>
          <w:sz w:val="24"/>
          <w:szCs w:val="24"/>
        </w:rPr>
        <w:t xml:space="preserve"> </w:t>
      </w:r>
      <w:r w:rsidRPr="00A90FBB">
        <w:rPr>
          <w:sz w:val="24"/>
          <w:szCs w:val="24"/>
        </w:rPr>
        <w:t>exists.</w:t>
      </w:r>
      <w:r w:rsidRPr="00A90FBB">
        <w:rPr>
          <w:spacing w:val="1"/>
          <w:sz w:val="24"/>
          <w:szCs w:val="24"/>
        </w:rPr>
        <w:t xml:space="preserve"> </w:t>
      </w:r>
      <w:r w:rsidRPr="00A90FBB">
        <w:rPr>
          <w:sz w:val="24"/>
          <w:szCs w:val="24"/>
        </w:rPr>
        <w:t>The</w:t>
      </w:r>
      <w:r w:rsidRPr="00A90FBB">
        <w:rPr>
          <w:spacing w:val="1"/>
          <w:sz w:val="24"/>
          <w:szCs w:val="24"/>
        </w:rPr>
        <w:t xml:space="preserve"> </w:t>
      </w:r>
      <w:r w:rsidRPr="00A90FBB">
        <w:rPr>
          <w:sz w:val="24"/>
          <w:szCs w:val="24"/>
        </w:rPr>
        <w:t>corresponding</w:t>
      </w:r>
      <w:r w:rsidRPr="00A90FBB">
        <w:rPr>
          <w:spacing w:val="1"/>
          <w:sz w:val="24"/>
          <w:szCs w:val="24"/>
        </w:rPr>
        <w:t xml:space="preserve"> </w:t>
      </w:r>
      <w:r w:rsidRPr="00A90FBB">
        <w:rPr>
          <w:sz w:val="24"/>
          <w:szCs w:val="24"/>
        </w:rPr>
        <w:t>Indian</w:t>
      </w:r>
      <w:r w:rsidRPr="00A90FBB">
        <w:rPr>
          <w:spacing w:val="1"/>
          <w:sz w:val="24"/>
          <w:szCs w:val="24"/>
        </w:rPr>
        <w:t xml:space="preserve"> </w:t>
      </w:r>
      <w:r w:rsidRPr="00A90FBB">
        <w:rPr>
          <w:sz w:val="24"/>
          <w:szCs w:val="24"/>
        </w:rPr>
        <w:t>Standard</w:t>
      </w:r>
      <w:r w:rsidRPr="00A90FBB">
        <w:rPr>
          <w:spacing w:val="1"/>
          <w:sz w:val="24"/>
          <w:szCs w:val="24"/>
        </w:rPr>
        <w:t xml:space="preserve"> </w:t>
      </w:r>
      <w:r w:rsidRPr="00A90FBB">
        <w:rPr>
          <w:sz w:val="24"/>
          <w:szCs w:val="24"/>
        </w:rPr>
        <w:t>which</w:t>
      </w:r>
      <w:r w:rsidRPr="00A90FBB">
        <w:rPr>
          <w:spacing w:val="1"/>
          <w:sz w:val="24"/>
          <w:szCs w:val="24"/>
        </w:rPr>
        <w:t xml:space="preserve"> </w:t>
      </w:r>
      <w:r w:rsidRPr="00A90FBB">
        <w:rPr>
          <w:sz w:val="24"/>
          <w:szCs w:val="24"/>
        </w:rPr>
        <w:t>is</w:t>
      </w:r>
      <w:r w:rsidRPr="00A90FBB">
        <w:rPr>
          <w:spacing w:val="1"/>
          <w:sz w:val="24"/>
          <w:szCs w:val="24"/>
        </w:rPr>
        <w:t xml:space="preserve"> </w:t>
      </w:r>
      <w:r w:rsidRPr="00A90FBB">
        <w:rPr>
          <w:sz w:val="24"/>
          <w:szCs w:val="24"/>
        </w:rPr>
        <w:t>to</w:t>
      </w:r>
      <w:r w:rsidRPr="00A90FBB">
        <w:rPr>
          <w:spacing w:val="1"/>
          <w:sz w:val="24"/>
          <w:szCs w:val="24"/>
        </w:rPr>
        <w:t xml:space="preserve"> </w:t>
      </w:r>
      <w:r w:rsidRPr="00A90FBB">
        <w:rPr>
          <w:sz w:val="24"/>
          <w:szCs w:val="24"/>
        </w:rPr>
        <w:t>be</w:t>
      </w:r>
      <w:r w:rsidRPr="00A90FBB">
        <w:rPr>
          <w:spacing w:val="1"/>
          <w:sz w:val="24"/>
          <w:szCs w:val="24"/>
        </w:rPr>
        <w:t xml:space="preserve"> </w:t>
      </w:r>
      <w:r w:rsidRPr="00A90FBB">
        <w:rPr>
          <w:sz w:val="24"/>
          <w:szCs w:val="24"/>
        </w:rPr>
        <w:t>substituted in its place is listed below along with its degree of equivalence for the edition</w:t>
      </w:r>
      <w:r w:rsidRPr="00A90FBB">
        <w:rPr>
          <w:spacing w:val="1"/>
          <w:sz w:val="24"/>
          <w:szCs w:val="24"/>
        </w:rPr>
        <w:t xml:space="preserve"> </w:t>
      </w:r>
      <w:r w:rsidR="00A90FBB" w:rsidRPr="00A90FBB">
        <w:rPr>
          <w:sz w:val="24"/>
          <w:szCs w:val="24"/>
        </w:rPr>
        <w:t>indicated.</w:t>
      </w:r>
      <w:r w:rsidR="00DD672A" w:rsidRPr="00DD672A">
        <w:t xml:space="preserve"> </w:t>
      </w:r>
      <w:r w:rsidR="00DD672A" w:rsidRPr="00DD672A">
        <w:rPr>
          <w:sz w:val="24"/>
          <w:szCs w:val="24"/>
        </w:rPr>
        <w:t>For dated references, only the edition</w:t>
      </w:r>
      <w:r w:rsidR="00DD672A">
        <w:rPr>
          <w:sz w:val="24"/>
          <w:szCs w:val="24"/>
        </w:rPr>
        <w:t xml:space="preserve"> </w:t>
      </w:r>
      <w:r w:rsidR="00DD672A" w:rsidRPr="00DD672A">
        <w:rPr>
          <w:sz w:val="24"/>
          <w:szCs w:val="24"/>
        </w:rPr>
        <w:t>cited applies. For undated references, the latest edition of the referenced document (including</w:t>
      </w:r>
      <w:r w:rsidR="00DD672A">
        <w:rPr>
          <w:sz w:val="24"/>
          <w:szCs w:val="24"/>
        </w:rPr>
        <w:t xml:space="preserve"> any amendments) applies:</w:t>
      </w:r>
    </w:p>
    <w:p w:rsidR="004671A9" w:rsidRDefault="004671A9" w:rsidP="005A0FD4">
      <w:pPr>
        <w:pStyle w:val="BodyText"/>
        <w:spacing w:before="11"/>
        <w:ind w:right="10"/>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59"/>
        <w:gridCol w:w="3282"/>
        <w:gridCol w:w="2410"/>
      </w:tblGrid>
      <w:tr w:rsidR="00BC607F" w:rsidRPr="00EB6E33" w:rsidTr="00020030">
        <w:trPr>
          <w:trHeight w:val="630"/>
          <w:jc w:val="center"/>
        </w:trPr>
        <w:tc>
          <w:tcPr>
            <w:tcW w:w="3659" w:type="dxa"/>
            <w:vAlign w:val="center"/>
          </w:tcPr>
          <w:p w:rsidR="00202729" w:rsidRPr="00EB6E33" w:rsidRDefault="00202729" w:rsidP="00020030">
            <w:pPr>
              <w:pStyle w:val="TableParagraph"/>
              <w:ind w:left="75" w:right="90"/>
              <w:jc w:val="center"/>
              <w:rPr>
                <w:b/>
                <w:bCs/>
                <w:iCs/>
                <w:color w:val="000000" w:themeColor="text1"/>
                <w:sz w:val="24"/>
                <w:szCs w:val="24"/>
              </w:rPr>
            </w:pPr>
            <w:r w:rsidRPr="00EB6E33">
              <w:rPr>
                <w:b/>
                <w:bCs/>
                <w:iCs/>
                <w:color w:val="000000" w:themeColor="text1"/>
                <w:sz w:val="24"/>
                <w:szCs w:val="24"/>
              </w:rPr>
              <w:t>International</w:t>
            </w:r>
            <w:r w:rsidRPr="00EB6E33">
              <w:rPr>
                <w:b/>
                <w:bCs/>
                <w:iCs/>
                <w:color w:val="000000" w:themeColor="text1"/>
                <w:spacing w:val="-5"/>
                <w:sz w:val="24"/>
                <w:szCs w:val="24"/>
              </w:rPr>
              <w:t xml:space="preserve"> </w:t>
            </w:r>
            <w:r w:rsidRPr="00EB6E33">
              <w:rPr>
                <w:b/>
                <w:bCs/>
                <w:iCs/>
                <w:color w:val="000000" w:themeColor="text1"/>
                <w:sz w:val="24"/>
                <w:szCs w:val="24"/>
              </w:rPr>
              <w:t>Standards</w:t>
            </w:r>
          </w:p>
        </w:tc>
        <w:tc>
          <w:tcPr>
            <w:tcW w:w="3282" w:type="dxa"/>
            <w:vAlign w:val="center"/>
          </w:tcPr>
          <w:p w:rsidR="00202729" w:rsidRPr="00EB6E33" w:rsidRDefault="00202729" w:rsidP="00020030">
            <w:pPr>
              <w:pStyle w:val="TableParagraph"/>
              <w:ind w:left="90" w:right="90"/>
              <w:jc w:val="center"/>
              <w:rPr>
                <w:b/>
                <w:bCs/>
                <w:iCs/>
                <w:color w:val="000000" w:themeColor="text1"/>
                <w:sz w:val="24"/>
                <w:szCs w:val="24"/>
              </w:rPr>
            </w:pPr>
            <w:r w:rsidRPr="00EB6E33">
              <w:rPr>
                <w:b/>
                <w:bCs/>
                <w:iCs/>
                <w:color w:val="000000" w:themeColor="text1"/>
                <w:sz w:val="24"/>
                <w:szCs w:val="24"/>
              </w:rPr>
              <w:t>Corresponding Indian Standard</w:t>
            </w:r>
          </w:p>
        </w:tc>
        <w:tc>
          <w:tcPr>
            <w:tcW w:w="2410" w:type="dxa"/>
            <w:vAlign w:val="center"/>
          </w:tcPr>
          <w:p w:rsidR="00202729" w:rsidRPr="00EB6E33" w:rsidRDefault="00202729" w:rsidP="00020030">
            <w:pPr>
              <w:pStyle w:val="TableParagraph"/>
              <w:ind w:left="90" w:right="91"/>
              <w:jc w:val="center"/>
              <w:rPr>
                <w:b/>
                <w:bCs/>
                <w:iCs/>
                <w:color w:val="000000" w:themeColor="text1"/>
                <w:sz w:val="24"/>
                <w:szCs w:val="24"/>
              </w:rPr>
            </w:pPr>
            <w:r w:rsidRPr="00EB6E33">
              <w:rPr>
                <w:b/>
                <w:bCs/>
                <w:iCs/>
                <w:color w:val="000000" w:themeColor="text1"/>
                <w:sz w:val="24"/>
                <w:szCs w:val="24"/>
              </w:rPr>
              <w:t>Degree of</w:t>
            </w:r>
            <w:r w:rsidRPr="00EB6E33">
              <w:rPr>
                <w:b/>
                <w:bCs/>
                <w:iCs/>
                <w:color w:val="000000" w:themeColor="text1"/>
                <w:spacing w:val="1"/>
                <w:sz w:val="24"/>
                <w:szCs w:val="24"/>
              </w:rPr>
              <w:t xml:space="preserve"> </w:t>
            </w:r>
            <w:r w:rsidRPr="00EB6E33">
              <w:rPr>
                <w:b/>
                <w:bCs/>
                <w:iCs/>
                <w:color w:val="000000" w:themeColor="text1"/>
                <w:spacing w:val="-1"/>
                <w:sz w:val="24"/>
                <w:szCs w:val="24"/>
              </w:rPr>
              <w:t>Equivalence</w:t>
            </w:r>
          </w:p>
        </w:tc>
      </w:tr>
      <w:tr w:rsidR="003866BB" w:rsidRPr="00EB6E33" w:rsidTr="00C16996">
        <w:trPr>
          <w:trHeight w:val="1104"/>
          <w:jc w:val="center"/>
        </w:trPr>
        <w:tc>
          <w:tcPr>
            <w:tcW w:w="3659" w:type="dxa"/>
            <w:vAlign w:val="center"/>
          </w:tcPr>
          <w:p w:rsidR="003866BB" w:rsidRPr="00EB6E33" w:rsidRDefault="003866BB" w:rsidP="00C16996">
            <w:pPr>
              <w:pStyle w:val="TableParagraph"/>
              <w:ind w:left="75" w:right="90"/>
              <w:jc w:val="both"/>
              <w:rPr>
                <w:color w:val="000000" w:themeColor="text1"/>
                <w:sz w:val="24"/>
                <w:szCs w:val="24"/>
              </w:rPr>
            </w:pPr>
            <w:r w:rsidRPr="00EB6E33">
              <w:rPr>
                <w:color w:val="000000" w:themeColor="text1"/>
                <w:sz w:val="24"/>
                <w:szCs w:val="24"/>
              </w:rPr>
              <w:t>IEC 60050 (All Parts), International Electrotechnical Vocabulary</w:t>
            </w:r>
          </w:p>
        </w:tc>
        <w:tc>
          <w:tcPr>
            <w:tcW w:w="3282" w:type="dxa"/>
            <w:vAlign w:val="center"/>
          </w:tcPr>
          <w:p w:rsidR="008F176B" w:rsidRPr="008F176B" w:rsidRDefault="008F176B" w:rsidP="008F176B">
            <w:pPr>
              <w:pStyle w:val="TableParagraph"/>
              <w:ind w:left="90" w:right="90"/>
              <w:jc w:val="both"/>
              <w:rPr>
                <w:color w:val="000000" w:themeColor="text1"/>
                <w:sz w:val="24"/>
                <w:szCs w:val="24"/>
              </w:rPr>
            </w:pPr>
            <w:r w:rsidRPr="008F176B">
              <w:rPr>
                <w:color w:val="000000" w:themeColor="text1"/>
                <w:sz w:val="24"/>
                <w:szCs w:val="24"/>
              </w:rPr>
              <w:t>IS 18</w:t>
            </w:r>
            <w:r>
              <w:rPr>
                <w:color w:val="000000" w:themeColor="text1"/>
                <w:sz w:val="24"/>
                <w:szCs w:val="24"/>
              </w:rPr>
              <w:t xml:space="preserve">85 (All Parts) </w:t>
            </w:r>
          </w:p>
          <w:p w:rsidR="003866BB" w:rsidRPr="00EB6E33" w:rsidRDefault="008F176B" w:rsidP="008F176B">
            <w:pPr>
              <w:pStyle w:val="TableParagraph"/>
              <w:ind w:left="90" w:right="90"/>
              <w:jc w:val="both"/>
              <w:rPr>
                <w:color w:val="000000" w:themeColor="text1"/>
                <w:sz w:val="24"/>
                <w:szCs w:val="24"/>
              </w:rPr>
            </w:pPr>
            <w:r w:rsidRPr="008F176B">
              <w:rPr>
                <w:color w:val="000000" w:themeColor="text1"/>
                <w:sz w:val="24"/>
                <w:szCs w:val="24"/>
              </w:rPr>
              <w:t>Electrotechnical vocabulary</w:t>
            </w:r>
          </w:p>
        </w:tc>
        <w:tc>
          <w:tcPr>
            <w:tcW w:w="2410" w:type="dxa"/>
            <w:vAlign w:val="center"/>
          </w:tcPr>
          <w:p w:rsidR="003866BB" w:rsidRPr="00EB6E33" w:rsidRDefault="00707D08" w:rsidP="00AD3710">
            <w:pPr>
              <w:jc w:val="center"/>
              <w:rPr>
                <w:color w:val="000000" w:themeColor="text1"/>
                <w:sz w:val="24"/>
                <w:szCs w:val="24"/>
              </w:rPr>
            </w:pPr>
            <w:r w:rsidRPr="00707D08">
              <w:rPr>
                <w:color w:val="000000" w:themeColor="text1"/>
                <w:sz w:val="24"/>
                <w:szCs w:val="24"/>
              </w:rPr>
              <w:t>Technically Equivalent</w:t>
            </w:r>
          </w:p>
        </w:tc>
      </w:tr>
      <w:tr w:rsidR="00647A5E" w:rsidRPr="00EB6E33" w:rsidTr="00B170BA">
        <w:trPr>
          <w:trHeight w:val="416"/>
          <w:jc w:val="center"/>
        </w:trPr>
        <w:tc>
          <w:tcPr>
            <w:tcW w:w="3659" w:type="dxa"/>
            <w:vAlign w:val="center"/>
          </w:tcPr>
          <w:p w:rsidR="00647A5E" w:rsidRPr="00EB6E33" w:rsidRDefault="003866BB" w:rsidP="00C16996">
            <w:pPr>
              <w:pStyle w:val="TableParagraph"/>
              <w:ind w:left="75" w:right="90"/>
              <w:jc w:val="both"/>
              <w:rPr>
                <w:color w:val="000000" w:themeColor="text1"/>
                <w:sz w:val="24"/>
                <w:szCs w:val="24"/>
              </w:rPr>
            </w:pPr>
            <w:r w:rsidRPr="00EB6E33">
              <w:rPr>
                <w:color w:val="000000" w:themeColor="text1"/>
                <w:sz w:val="24"/>
                <w:szCs w:val="24"/>
              </w:rPr>
              <w:t>IEC 61196-1</w:t>
            </w:r>
            <w:r w:rsidR="00647A5E" w:rsidRPr="00EB6E33">
              <w:rPr>
                <w:color w:val="000000" w:themeColor="text1"/>
                <w:sz w:val="24"/>
                <w:szCs w:val="24"/>
              </w:rPr>
              <w:t xml:space="preserve"> Coaxial communication cables – Part 1: Generic specification – General, definitions and requirements</w:t>
            </w:r>
          </w:p>
        </w:tc>
        <w:tc>
          <w:tcPr>
            <w:tcW w:w="3282" w:type="dxa"/>
            <w:vAlign w:val="center"/>
          </w:tcPr>
          <w:p w:rsidR="00647A5E" w:rsidRPr="00EB6E33" w:rsidRDefault="00647A5E" w:rsidP="00B103BE">
            <w:pPr>
              <w:pStyle w:val="TableParagraph"/>
              <w:ind w:left="90" w:right="90"/>
              <w:jc w:val="both"/>
              <w:rPr>
                <w:color w:val="000000" w:themeColor="text1"/>
                <w:sz w:val="24"/>
                <w:szCs w:val="24"/>
              </w:rPr>
            </w:pPr>
            <w:r w:rsidRPr="00EB6E33">
              <w:rPr>
                <w:color w:val="000000" w:themeColor="text1"/>
                <w:sz w:val="24"/>
                <w:szCs w:val="24"/>
              </w:rPr>
              <w:t>IS/IEC 61196-1 : 2005 Coaxial communication cables — Part 1: Generic specification — General, definitions and requirements</w:t>
            </w:r>
          </w:p>
        </w:tc>
        <w:tc>
          <w:tcPr>
            <w:tcW w:w="2410" w:type="dxa"/>
            <w:vAlign w:val="center"/>
          </w:tcPr>
          <w:p w:rsidR="00647A5E" w:rsidRPr="00EB6E33" w:rsidRDefault="00647A5E" w:rsidP="00AD3710">
            <w:pPr>
              <w:jc w:val="center"/>
              <w:rPr>
                <w:color w:val="000000" w:themeColor="text1"/>
                <w:sz w:val="24"/>
                <w:szCs w:val="24"/>
              </w:rPr>
            </w:pPr>
          </w:p>
          <w:p w:rsidR="00375181" w:rsidRPr="00EB6E33" w:rsidRDefault="00647A5E" w:rsidP="00375181">
            <w:pPr>
              <w:jc w:val="center"/>
              <w:rPr>
                <w:color w:val="000000" w:themeColor="text1"/>
                <w:sz w:val="24"/>
                <w:szCs w:val="24"/>
              </w:rPr>
            </w:pPr>
            <w:r w:rsidRPr="00EB6E33">
              <w:rPr>
                <w:color w:val="000000" w:themeColor="text1"/>
                <w:sz w:val="24"/>
                <w:szCs w:val="24"/>
              </w:rPr>
              <w:t xml:space="preserve">Identical </w:t>
            </w:r>
            <w:r w:rsidR="00EB6E33" w:rsidRPr="00EB6E33">
              <w:rPr>
                <w:color w:val="000000" w:themeColor="text1"/>
                <w:sz w:val="24"/>
                <w:szCs w:val="24"/>
              </w:rPr>
              <w:t>with</w:t>
            </w:r>
          </w:p>
          <w:p w:rsidR="00647A5E" w:rsidRPr="00EB6E33" w:rsidRDefault="00EB6E33" w:rsidP="00AD3710">
            <w:pPr>
              <w:jc w:val="center"/>
              <w:rPr>
                <w:color w:val="000000" w:themeColor="text1"/>
                <w:sz w:val="24"/>
                <w:szCs w:val="24"/>
              </w:rPr>
            </w:pPr>
            <w:r w:rsidRPr="00EB6E33">
              <w:rPr>
                <w:color w:val="000000" w:themeColor="text1"/>
                <w:sz w:val="24"/>
                <w:szCs w:val="24"/>
              </w:rPr>
              <w:t xml:space="preserve"> IEC 61196-1 : 2005</w:t>
            </w:r>
          </w:p>
        </w:tc>
      </w:tr>
      <w:tr w:rsidR="008B5B29" w:rsidRPr="00EB6E33" w:rsidTr="009A4A6D">
        <w:trPr>
          <w:trHeight w:val="1104"/>
          <w:jc w:val="center"/>
        </w:trPr>
        <w:tc>
          <w:tcPr>
            <w:tcW w:w="3659" w:type="dxa"/>
            <w:vAlign w:val="center"/>
          </w:tcPr>
          <w:p w:rsidR="008B5B29" w:rsidRPr="00EB6E33" w:rsidRDefault="006F091D" w:rsidP="009A4A6D">
            <w:pPr>
              <w:pStyle w:val="TableParagraph"/>
              <w:ind w:left="75" w:right="90"/>
              <w:jc w:val="both"/>
              <w:rPr>
                <w:color w:val="000000" w:themeColor="text1"/>
                <w:sz w:val="24"/>
                <w:szCs w:val="24"/>
              </w:rPr>
            </w:pPr>
            <w:r w:rsidRPr="00EB6E33">
              <w:rPr>
                <w:color w:val="000000" w:themeColor="text1"/>
                <w:sz w:val="24"/>
                <w:szCs w:val="24"/>
              </w:rPr>
              <w:lastRenderedPageBreak/>
              <w:t>IEC 61196-1-103, Coaxial communication cables – Part 1-103: Electrical test methods – Test</w:t>
            </w:r>
            <w:r w:rsidRPr="00EB6E33">
              <w:rPr>
                <w:color w:val="000000" w:themeColor="text1"/>
                <w:sz w:val="24"/>
                <w:szCs w:val="24"/>
              </w:rPr>
              <w:t xml:space="preserve"> </w:t>
            </w:r>
            <w:r w:rsidRPr="00EB6E33">
              <w:rPr>
                <w:color w:val="000000" w:themeColor="text1"/>
                <w:sz w:val="24"/>
                <w:szCs w:val="24"/>
              </w:rPr>
              <w:t>for capacitance of cable</w:t>
            </w:r>
          </w:p>
        </w:tc>
        <w:tc>
          <w:tcPr>
            <w:tcW w:w="3282" w:type="dxa"/>
            <w:vAlign w:val="center"/>
          </w:tcPr>
          <w:p w:rsidR="008B5B29" w:rsidRPr="00EB6E33" w:rsidRDefault="00EB6E33" w:rsidP="009A4A6D">
            <w:pPr>
              <w:pStyle w:val="TableParagraph"/>
              <w:ind w:left="90" w:right="90"/>
              <w:jc w:val="both"/>
              <w:rPr>
                <w:color w:val="000000" w:themeColor="text1"/>
                <w:sz w:val="24"/>
                <w:szCs w:val="24"/>
              </w:rPr>
            </w:pPr>
            <w:r w:rsidRPr="00EB6E33">
              <w:rPr>
                <w:color w:val="000000" w:themeColor="text1"/>
                <w:sz w:val="24"/>
                <w:szCs w:val="24"/>
              </w:rPr>
              <w:t>IS/IEC 61196-1-103 : 2005</w:t>
            </w:r>
            <w:r>
              <w:rPr>
                <w:color w:val="000000" w:themeColor="text1"/>
                <w:sz w:val="24"/>
                <w:szCs w:val="24"/>
              </w:rPr>
              <w:t xml:space="preserve"> </w:t>
            </w:r>
            <w:r w:rsidRPr="00EB6E33">
              <w:rPr>
                <w:color w:val="000000" w:themeColor="text1"/>
                <w:sz w:val="24"/>
                <w:szCs w:val="24"/>
              </w:rPr>
              <w:t>Coaxia</w:t>
            </w:r>
            <w:bookmarkStart w:id="0" w:name="_GoBack"/>
            <w:bookmarkEnd w:id="0"/>
            <w:r w:rsidRPr="00EB6E33">
              <w:rPr>
                <w:color w:val="000000" w:themeColor="text1"/>
                <w:sz w:val="24"/>
                <w:szCs w:val="24"/>
              </w:rPr>
              <w:t>l communication cables: Part 1 - 103 electrical test methods - Test for capacitance of cable</w:t>
            </w:r>
          </w:p>
        </w:tc>
        <w:tc>
          <w:tcPr>
            <w:tcW w:w="2410" w:type="dxa"/>
            <w:vAlign w:val="center"/>
          </w:tcPr>
          <w:p w:rsidR="00EB6E33" w:rsidRPr="00EB6E33" w:rsidRDefault="00EB6E33" w:rsidP="00EB6E33">
            <w:pPr>
              <w:jc w:val="center"/>
              <w:rPr>
                <w:color w:val="000000" w:themeColor="text1"/>
                <w:sz w:val="24"/>
                <w:szCs w:val="24"/>
              </w:rPr>
            </w:pPr>
            <w:r w:rsidRPr="00EB6E33">
              <w:rPr>
                <w:color w:val="000000" w:themeColor="text1"/>
                <w:sz w:val="24"/>
                <w:szCs w:val="24"/>
              </w:rPr>
              <w:t>Identical with</w:t>
            </w:r>
          </w:p>
          <w:p w:rsidR="008B5B29" w:rsidRPr="00EB6E33" w:rsidRDefault="00EB6E33" w:rsidP="00EB6E33">
            <w:pPr>
              <w:jc w:val="center"/>
              <w:rPr>
                <w:color w:val="000000" w:themeColor="text1"/>
                <w:sz w:val="24"/>
                <w:szCs w:val="24"/>
              </w:rPr>
            </w:pPr>
            <w:r w:rsidRPr="00EB6E33">
              <w:rPr>
                <w:color w:val="000000" w:themeColor="text1"/>
                <w:sz w:val="24"/>
                <w:szCs w:val="24"/>
              </w:rPr>
              <w:t xml:space="preserve"> IEC 61196-1</w:t>
            </w:r>
            <w:r>
              <w:rPr>
                <w:color w:val="000000" w:themeColor="text1"/>
                <w:sz w:val="24"/>
                <w:szCs w:val="24"/>
              </w:rPr>
              <w:t>-103</w:t>
            </w:r>
            <w:r w:rsidRPr="00EB6E33">
              <w:rPr>
                <w:color w:val="000000" w:themeColor="text1"/>
                <w:sz w:val="24"/>
                <w:szCs w:val="24"/>
              </w:rPr>
              <w:t xml:space="preserve"> : 2005</w:t>
            </w:r>
          </w:p>
        </w:tc>
      </w:tr>
    </w:tbl>
    <w:p w:rsidR="00AA5811" w:rsidRDefault="00AA5811" w:rsidP="00AA5811">
      <w:pPr>
        <w:pStyle w:val="BodyText"/>
        <w:spacing w:before="5"/>
        <w:ind w:right="20"/>
        <w:rPr>
          <w:sz w:val="14"/>
        </w:rPr>
      </w:pPr>
    </w:p>
    <w:p w:rsidR="005829FE" w:rsidRDefault="005829FE" w:rsidP="005829FE">
      <w:pPr>
        <w:jc w:val="both"/>
        <w:rPr>
          <w:sz w:val="24"/>
          <w:szCs w:val="24"/>
        </w:rPr>
      </w:pPr>
      <w:r w:rsidRPr="00D23C56">
        <w:rPr>
          <w:sz w:val="24"/>
          <w:szCs w:val="24"/>
        </w:rPr>
        <w:t>For the purpose of deciding whether a particular requirement of this standard is complied with, the final value, observed or calculated, expressing the result of a test or analysis, shall be rounded off in accordance with IS 2:2022 ‘Rules for rounding off numerical values (Second Revision)’. The number of significant places retained in the rounded off value should be same as that of the specified value in this standard.</w:t>
      </w:r>
    </w:p>
    <w:p w:rsidR="00D60F75" w:rsidRDefault="00D60F75" w:rsidP="00D60F75">
      <w:pPr>
        <w:jc w:val="both"/>
        <w:rPr>
          <w:sz w:val="24"/>
          <w:szCs w:val="24"/>
        </w:rPr>
      </w:pPr>
    </w:p>
    <w:p w:rsidR="00C16996" w:rsidRDefault="00C16996" w:rsidP="00D60F75">
      <w:pPr>
        <w:pBdr>
          <w:top w:val="single" w:sz="4" w:space="0" w:color="auto"/>
        </w:pBdr>
        <w:rPr>
          <w:b/>
          <w:bCs/>
          <w:sz w:val="24"/>
          <w:szCs w:val="24"/>
        </w:rPr>
      </w:pPr>
    </w:p>
    <w:p w:rsidR="004671A9" w:rsidRPr="004B47D2" w:rsidRDefault="004671A9" w:rsidP="001903A2">
      <w:pPr>
        <w:rPr>
          <w:sz w:val="24"/>
          <w:szCs w:val="24"/>
        </w:rPr>
      </w:pPr>
    </w:p>
    <w:sectPr w:rsidR="004671A9" w:rsidRPr="004B47D2" w:rsidSect="00B170BA">
      <w:headerReference w:type="default" r:id="rId7"/>
      <w:pgSz w:w="11910" w:h="16840"/>
      <w:pgMar w:top="1276" w:right="1110" w:bottom="1350" w:left="1340" w:header="36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86E" w:rsidRDefault="0049086E">
      <w:r>
        <w:separator/>
      </w:r>
    </w:p>
  </w:endnote>
  <w:endnote w:type="continuationSeparator" w:id="0">
    <w:p w:rsidR="0049086E" w:rsidRDefault="0049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86E" w:rsidRDefault="0049086E">
      <w:r>
        <w:separator/>
      </w:r>
    </w:p>
  </w:footnote>
  <w:footnote w:type="continuationSeparator" w:id="0">
    <w:p w:rsidR="0049086E" w:rsidRDefault="0049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405" w:rsidRPr="0049557E" w:rsidRDefault="00460405" w:rsidP="00460405">
    <w:pPr>
      <w:spacing w:before="9" w:line="322" w:lineRule="exact"/>
      <w:ind w:right="18"/>
      <w:jc w:val="right"/>
      <w:rPr>
        <w:b/>
        <w:sz w:val="24"/>
        <w:szCs w:val="20"/>
      </w:rPr>
    </w:pPr>
    <w:r w:rsidRPr="0049557E">
      <w:rPr>
        <w:b/>
        <w:sz w:val="24"/>
        <w:szCs w:val="20"/>
      </w:rPr>
      <w:t>Doc. No.:</w:t>
    </w:r>
    <w:r w:rsidRPr="0049557E">
      <w:rPr>
        <w:b/>
        <w:spacing w:val="-3"/>
        <w:sz w:val="24"/>
        <w:szCs w:val="20"/>
      </w:rPr>
      <w:t xml:space="preserve"> </w:t>
    </w:r>
    <w:r w:rsidRPr="0049557E">
      <w:rPr>
        <w:b/>
        <w:sz w:val="24"/>
        <w:szCs w:val="20"/>
      </w:rPr>
      <w:t>LITD</w:t>
    </w:r>
    <w:r w:rsidRPr="0049557E">
      <w:rPr>
        <w:b/>
        <w:spacing w:val="-2"/>
        <w:sz w:val="24"/>
        <w:szCs w:val="20"/>
      </w:rPr>
      <w:t xml:space="preserve"> </w:t>
    </w:r>
    <w:r w:rsidRPr="0049557E">
      <w:rPr>
        <w:b/>
        <w:sz w:val="24"/>
        <w:szCs w:val="20"/>
      </w:rPr>
      <w:t>06 (</w:t>
    </w:r>
    <w:r w:rsidR="00E4232D">
      <w:rPr>
        <w:b/>
        <w:sz w:val="24"/>
        <w:szCs w:val="20"/>
      </w:rPr>
      <w:t>23345</w:t>
    </w:r>
    <w:r w:rsidRPr="0049557E">
      <w:rPr>
        <w:b/>
        <w:sz w:val="24"/>
        <w:szCs w:val="20"/>
      </w:rPr>
      <w:t>)</w:t>
    </w:r>
  </w:p>
  <w:p w:rsidR="00BB47B4" w:rsidRPr="0049557E" w:rsidRDefault="00213514" w:rsidP="00460405">
    <w:pPr>
      <w:spacing w:before="9" w:line="322" w:lineRule="exact"/>
      <w:ind w:right="18"/>
      <w:jc w:val="right"/>
      <w:rPr>
        <w:b/>
        <w:sz w:val="24"/>
        <w:szCs w:val="20"/>
      </w:rPr>
    </w:pPr>
    <w:r>
      <w:rPr>
        <w:b/>
        <w:sz w:val="24"/>
        <w:szCs w:val="20"/>
      </w:rPr>
      <w:t xml:space="preserve"> IS/</w:t>
    </w:r>
    <w:r w:rsidR="00647A5E" w:rsidRPr="0049557E">
      <w:rPr>
        <w:b/>
        <w:sz w:val="24"/>
        <w:szCs w:val="20"/>
      </w:rPr>
      <w:t>IEC 61196-</w:t>
    </w:r>
    <w:r w:rsidR="00E4232D">
      <w:rPr>
        <w:b/>
        <w:sz w:val="24"/>
        <w:szCs w:val="20"/>
      </w:rPr>
      <w:t>1</w:t>
    </w:r>
    <w:r w:rsidR="00C40395">
      <w:rPr>
        <w:b/>
        <w:sz w:val="24"/>
        <w:szCs w:val="20"/>
      </w:rPr>
      <w:t>-1</w:t>
    </w:r>
    <w:r w:rsidR="00E4232D">
      <w:rPr>
        <w:b/>
        <w:sz w:val="24"/>
        <w:szCs w:val="20"/>
      </w:rPr>
      <w:t>04</w:t>
    </w:r>
    <w:r w:rsidR="00647A5E" w:rsidRPr="0049557E">
      <w:rPr>
        <w:b/>
        <w:sz w:val="24"/>
        <w:szCs w:val="20"/>
      </w:rPr>
      <w:t>:</w:t>
    </w:r>
    <w:r w:rsidR="00E4232D">
      <w:rPr>
        <w:b/>
        <w:sz w:val="24"/>
        <w:szCs w:val="20"/>
      </w:rPr>
      <w:t xml:space="preserve"> 2015</w:t>
    </w:r>
  </w:p>
  <w:p w:rsidR="004671A9" w:rsidRPr="0049557E" w:rsidRDefault="00C40395" w:rsidP="00573D5C">
    <w:pPr>
      <w:ind w:right="20"/>
      <w:jc w:val="right"/>
      <w:rPr>
        <w:sz w:val="18"/>
        <w:szCs w:val="20"/>
      </w:rPr>
    </w:pPr>
    <w:r>
      <w:rPr>
        <w:b/>
        <w:sz w:val="24"/>
        <w:szCs w:val="20"/>
      </w:rPr>
      <w:t>July</w:t>
    </w:r>
    <w:r w:rsidR="00460405" w:rsidRPr="0049557E">
      <w:rPr>
        <w:b/>
        <w:spacing w:val="-5"/>
        <w:sz w:val="24"/>
        <w:szCs w:val="20"/>
      </w:rPr>
      <w:t xml:space="preserve"> </w:t>
    </w:r>
    <w:r w:rsidR="00460405" w:rsidRPr="0049557E">
      <w:rPr>
        <w:b/>
        <w:sz w:val="24"/>
        <w:szCs w:val="20"/>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A97"/>
    <w:multiLevelType w:val="hybridMultilevel"/>
    <w:tmpl w:val="5EA40F8C"/>
    <w:lvl w:ilvl="0" w:tplc="DB969324">
      <w:numFmt w:val="bullet"/>
      <w:lvlText w:val="–"/>
      <w:lvlJc w:val="left"/>
      <w:pPr>
        <w:ind w:left="342" w:hanging="183"/>
      </w:pPr>
      <w:rPr>
        <w:rFonts w:ascii="Times New Roman" w:eastAsia="Times New Roman" w:hAnsi="Times New Roman" w:cs="Times New Roman" w:hint="default"/>
        <w:w w:val="100"/>
        <w:sz w:val="24"/>
        <w:szCs w:val="24"/>
        <w:lang w:val="en-US" w:eastAsia="en-US" w:bidi="ar-SA"/>
      </w:rPr>
    </w:lvl>
    <w:lvl w:ilvl="1" w:tplc="555AF484">
      <w:numFmt w:val="bullet"/>
      <w:lvlText w:val="•"/>
      <w:lvlJc w:val="left"/>
      <w:pPr>
        <w:ind w:left="1370" w:hanging="183"/>
      </w:pPr>
      <w:rPr>
        <w:rFonts w:hint="default"/>
        <w:lang w:val="en-US" w:eastAsia="en-US" w:bidi="ar-SA"/>
      </w:rPr>
    </w:lvl>
    <w:lvl w:ilvl="2" w:tplc="146E36BA">
      <w:numFmt w:val="bullet"/>
      <w:lvlText w:val="•"/>
      <w:lvlJc w:val="left"/>
      <w:pPr>
        <w:ind w:left="2400" w:hanging="183"/>
      </w:pPr>
      <w:rPr>
        <w:rFonts w:hint="default"/>
        <w:lang w:val="en-US" w:eastAsia="en-US" w:bidi="ar-SA"/>
      </w:rPr>
    </w:lvl>
    <w:lvl w:ilvl="3" w:tplc="CD862138">
      <w:numFmt w:val="bullet"/>
      <w:lvlText w:val="•"/>
      <w:lvlJc w:val="left"/>
      <w:pPr>
        <w:ind w:left="3430" w:hanging="183"/>
      </w:pPr>
      <w:rPr>
        <w:rFonts w:hint="default"/>
        <w:lang w:val="en-US" w:eastAsia="en-US" w:bidi="ar-SA"/>
      </w:rPr>
    </w:lvl>
    <w:lvl w:ilvl="4" w:tplc="E952B41C">
      <w:numFmt w:val="bullet"/>
      <w:lvlText w:val="•"/>
      <w:lvlJc w:val="left"/>
      <w:pPr>
        <w:ind w:left="4460" w:hanging="183"/>
      </w:pPr>
      <w:rPr>
        <w:rFonts w:hint="default"/>
        <w:lang w:val="en-US" w:eastAsia="en-US" w:bidi="ar-SA"/>
      </w:rPr>
    </w:lvl>
    <w:lvl w:ilvl="5" w:tplc="45E00CC2">
      <w:numFmt w:val="bullet"/>
      <w:lvlText w:val="•"/>
      <w:lvlJc w:val="left"/>
      <w:pPr>
        <w:ind w:left="5490" w:hanging="183"/>
      </w:pPr>
      <w:rPr>
        <w:rFonts w:hint="default"/>
        <w:lang w:val="en-US" w:eastAsia="en-US" w:bidi="ar-SA"/>
      </w:rPr>
    </w:lvl>
    <w:lvl w:ilvl="6" w:tplc="D0469B4E">
      <w:numFmt w:val="bullet"/>
      <w:lvlText w:val="•"/>
      <w:lvlJc w:val="left"/>
      <w:pPr>
        <w:ind w:left="6520" w:hanging="183"/>
      </w:pPr>
      <w:rPr>
        <w:rFonts w:hint="default"/>
        <w:lang w:val="en-US" w:eastAsia="en-US" w:bidi="ar-SA"/>
      </w:rPr>
    </w:lvl>
    <w:lvl w:ilvl="7" w:tplc="8D64A146">
      <w:numFmt w:val="bullet"/>
      <w:lvlText w:val="•"/>
      <w:lvlJc w:val="left"/>
      <w:pPr>
        <w:ind w:left="7550" w:hanging="183"/>
      </w:pPr>
      <w:rPr>
        <w:rFonts w:hint="default"/>
        <w:lang w:val="en-US" w:eastAsia="en-US" w:bidi="ar-SA"/>
      </w:rPr>
    </w:lvl>
    <w:lvl w:ilvl="8" w:tplc="754A119A">
      <w:numFmt w:val="bullet"/>
      <w:lvlText w:val="•"/>
      <w:lvlJc w:val="left"/>
      <w:pPr>
        <w:ind w:left="8580" w:hanging="183"/>
      </w:pPr>
      <w:rPr>
        <w:rFonts w:hint="default"/>
        <w:lang w:val="en-US" w:eastAsia="en-US" w:bidi="ar-SA"/>
      </w:rPr>
    </w:lvl>
  </w:abstractNum>
  <w:abstractNum w:abstractNumId="1">
    <w:nsid w:val="3FA020FB"/>
    <w:multiLevelType w:val="hybridMultilevel"/>
    <w:tmpl w:val="C17095BC"/>
    <w:lvl w:ilvl="0" w:tplc="B1FC9D40">
      <w:start w:val="1"/>
      <w:numFmt w:val="lowerLetter"/>
      <w:lvlText w:val="%1)"/>
      <w:lvlJc w:val="left"/>
      <w:pPr>
        <w:ind w:left="880" w:hanging="360"/>
      </w:pPr>
      <w:rPr>
        <w:rFonts w:ascii="Times New Roman" w:eastAsia="Times New Roman" w:hAnsi="Times New Roman" w:cs="Times New Roman" w:hint="default"/>
        <w:spacing w:val="-1"/>
        <w:w w:val="99"/>
        <w:sz w:val="24"/>
        <w:szCs w:val="24"/>
        <w:lang w:val="en-US" w:eastAsia="en-US" w:bidi="ar-SA"/>
      </w:rPr>
    </w:lvl>
    <w:lvl w:ilvl="1" w:tplc="BD04DB86">
      <w:numFmt w:val="bullet"/>
      <w:lvlText w:val="•"/>
      <w:lvlJc w:val="left"/>
      <w:pPr>
        <w:ind w:left="1856" w:hanging="360"/>
      </w:pPr>
      <w:rPr>
        <w:rFonts w:hint="default"/>
        <w:lang w:val="en-US" w:eastAsia="en-US" w:bidi="ar-SA"/>
      </w:rPr>
    </w:lvl>
    <w:lvl w:ilvl="2" w:tplc="3E3625CC">
      <w:numFmt w:val="bullet"/>
      <w:lvlText w:val="•"/>
      <w:lvlJc w:val="left"/>
      <w:pPr>
        <w:ind w:left="2832" w:hanging="360"/>
      </w:pPr>
      <w:rPr>
        <w:rFonts w:hint="default"/>
        <w:lang w:val="en-US" w:eastAsia="en-US" w:bidi="ar-SA"/>
      </w:rPr>
    </w:lvl>
    <w:lvl w:ilvl="3" w:tplc="7A2EC0C6">
      <w:numFmt w:val="bullet"/>
      <w:lvlText w:val="•"/>
      <w:lvlJc w:val="left"/>
      <w:pPr>
        <w:ind w:left="3808" w:hanging="360"/>
      </w:pPr>
      <w:rPr>
        <w:rFonts w:hint="default"/>
        <w:lang w:val="en-US" w:eastAsia="en-US" w:bidi="ar-SA"/>
      </w:rPr>
    </w:lvl>
    <w:lvl w:ilvl="4" w:tplc="FFC6E392">
      <w:numFmt w:val="bullet"/>
      <w:lvlText w:val="•"/>
      <w:lvlJc w:val="left"/>
      <w:pPr>
        <w:ind w:left="4784" w:hanging="360"/>
      </w:pPr>
      <w:rPr>
        <w:rFonts w:hint="default"/>
        <w:lang w:val="en-US" w:eastAsia="en-US" w:bidi="ar-SA"/>
      </w:rPr>
    </w:lvl>
    <w:lvl w:ilvl="5" w:tplc="D2AA70F2">
      <w:numFmt w:val="bullet"/>
      <w:lvlText w:val="•"/>
      <w:lvlJc w:val="left"/>
      <w:pPr>
        <w:ind w:left="5760" w:hanging="360"/>
      </w:pPr>
      <w:rPr>
        <w:rFonts w:hint="default"/>
        <w:lang w:val="en-US" w:eastAsia="en-US" w:bidi="ar-SA"/>
      </w:rPr>
    </w:lvl>
    <w:lvl w:ilvl="6" w:tplc="4EC8DFFA">
      <w:numFmt w:val="bullet"/>
      <w:lvlText w:val="•"/>
      <w:lvlJc w:val="left"/>
      <w:pPr>
        <w:ind w:left="6736" w:hanging="360"/>
      </w:pPr>
      <w:rPr>
        <w:rFonts w:hint="default"/>
        <w:lang w:val="en-US" w:eastAsia="en-US" w:bidi="ar-SA"/>
      </w:rPr>
    </w:lvl>
    <w:lvl w:ilvl="7" w:tplc="1B76FE8E">
      <w:numFmt w:val="bullet"/>
      <w:lvlText w:val="•"/>
      <w:lvlJc w:val="left"/>
      <w:pPr>
        <w:ind w:left="7712" w:hanging="360"/>
      </w:pPr>
      <w:rPr>
        <w:rFonts w:hint="default"/>
        <w:lang w:val="en-US" w:eastAsia="en-US" w:bidi="ar-SA"/>
      </w:rPr>
    </w:lvl>
    <w:lvl w:ilvl="8" w:tplc="48CACD02">
      <w:numFmt w:val="bullet"/>
      <w:lvlText w:val="•"/>
      <w:lvlJc w:val="left"/>
      <w:pPr>
        <w:ind w:left="8688" w:hanging="360"/>
      </w:pPr>
      <w:rPr>
        <w:rFonts w:hint="default"/>
        <w:lang w:val="en-US" w:eastAsia="en-US" w:bidi="ar-SA"/>
      </w:rPr>
    </w:lvl>
  </w:abstractNum>
  <w:abstractNum w:abstractNumId="2">
    <w:nsid w:val="65F35A88"/>
    <w:multiLevelType w:val="hybridMultilevel"/>
    <w:tmpl w:val="B76077F4"/>
    <w:lvl w:ilvl="0" w:tplc="49C8D4C2">
      <w:start w:val="1"/>
      <w:numFmt w:val="lowerLetter"/>
      <w:lvlText w:val="%1)"/>
      <w:lvlJc w:val="left"/>
      <w:pPr>
        <w:ind w:left="100" w:hanging="257"/>
      </w:pPr>
      <w:rPr>
        <w:rFonts w:ascii="Times New Roman" w:eastAsia="Times New Roman" w:hAnsi="Times New Roman" w:cs="Times New Roman" w:hint="default"/>
        <w:spacing w:val="0"/>
        <w:w w:val="100"/>
        <w:sz w:val="24"/>
        <w:szCs w:val="24"/>
        <w:lang w:val="en-US" w:eastAsia="en-US" w:bidi="ar-SA"/>
      </w:rPr>
    </w:lvl>
    <w:lvl w:ilvl="1" w:tplc="A066E220">
      <w:numFmt w:val="bullet"/>
      <w:lvlText w:val="•"/>
      <w:lvlJc w:val="left"/>
      <w:pPr>
        <w:ind w:left="1014" w:hanging="257"/>
      </w:pPr>
      <w:rPr>
        <w:rFonts w:hint="default"/>
        <w:lang w:val="en-US" w:eastAsia="en-US" w:bidi="ar-SA"/>
      </w:rPr>
    </w:lvl>
    <w:lvl w:ilvl="2" w:tplc="7DBCFF44">
      <w:numFmt w:val="bullet"/>
      <w:lvlText w:val="•"/>
      <w:lvlJc w:val="left"/>
      <w:pPr>
        <w:ind w:left="1929" w:hanging="257"/>
      </w:pPr>
      <w:rPr>
        <w:rFonts w:hint="default"/>
        <w:lang w:val="en-US" w:eastAsia="en-US" w:bidi="ar-SA"/>
      </w:rPr>
    </w:lvl>
    <w:lvl w:ilvl="3" w:tplc="A030EEDE">
      <w:numFmt w:val="bullet"/>
      <w:lvlText w:val="•"/>
      <w:lvlJc w:val="left"/>
      <w:pPr>
        <w:ind w:left="2843" w:hanging="257"/>
      </w:pPr>
      <w:rPr>
        <w:rFonts w:hint="default"/>
        <w:lang w:val="en-US" w:eastAsia="en-US" w:bidi="ar-SA"/>
      </w:rPr>
    </w:lvl>
    <w:lvl w:ilvl="4" w:tplc="4F1EB2DE">
      <w:numFmt w:val="bullet"/>
      <w:lvlText w:val="•"/>
      <w:lvlJc w:val="left"/>
      <w:pPr>
        <w:ind w:left="3758" w:hanging="257"/>
      </w:pPr>
      <w:rPr>
        <w:rFonts w:hint="default"/>
        <w:lang w:val="en-US" w:eastAsia="en-US" w:bidi="ar-SA"/>
      </w:rPr>
    </w:lvl>
    <w:lvl w:ilvl="5" w:tplc="5ECE8ED6">
      <w:numFmt w:val="bullet"/>
      <w:lvlText w:val="•"/>
      <w:lvlJc w:val="left"/>
      <w:pPr>
        <w:ind w:left="4673" w:hanging="257"/>
      </w:pPr>
      <w:rPr>
        <w:rFonts w:hint="default"/>
        <w:lang w:val="en-US" w:eastAsia="en-US" w:bidi="ar-SA"/>
      </w:rPr>
    </w:lvl>
    <w:lvl w:ilvl="6" w:tplc="4F549A2C">
      <w:numFmt w:val="bullet"/>
      <w:lvlText w:val="•"/>
      <w:lvlJc w:val="left"/>
      <w:pPr>
        <w:ind w:left="5587" w:hanging="257"/>
      </w:pPr>
      <w:rPr>
        <w:rFonts w:hint="default"/>
        <w:lang w:val="en-US" w:eastAsia="en-US" w:bidi="ar-SA"/>
      </w:rPr>
    </w:lvl>
    <w:lvl w:ilvl="7" w:tplc="397CB7AC">
      <w:numFmt w:val="bullet"/>
      <w:lvlText w:val="•"/>
      <w:lvlJc w:val="left"/>
      <w:pPr>
        <w:ind w:left="6502" w:hanging="257"/>
      </w:pPr>
      <w:rPr>
        <w:rFonts w:hint="default"/>
        <w:lang w:val="en-US" w:eastAsia="en-US" w:bidi="ar-SA"/>
      </w:rPr>
    </w:lvl>
    <w:lvl w:ilvl="8" w:tplc="D74AB964">
      <w:numFmt w:val="bullet"/>
      <w:lvlText w:val="•"/>
      <w:lvlJc w:val="left"/>
      <w:pPr>
        <w:ind w:left="7417" w:hanging="257"/>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1A9"/>
    <w:rsid w:val="00020030"/>
    <w:rsid w:val="0007618B"/>
    <w:rsid w:val="000E5227"/>
    <w:rsid w:val="00103A02"/>
    <w:rsid w:val="00112620"/>
    <w:rsid w:val="00120B60"/>
    <w:rsid w:val="001611F5"/>
    <w:rsid w:val="001848CE"/>
    <w:rsid w:val="00186734"/>
    <w:rsid w:val="00187C15"/>
    <w:rsid w:val="001903A2"/>
    <w:rsid w:val="001A51FA"/>
    <w:rsid w:val="001A6566"/>
    <w:rsid w:val="001C0B4F"/>
    <w:rsid w:val="001C6CD2"/>
    <w:rsid w:val="001E2546"/>
    <w:rsid w:val="00202729"/>
    <w:rsid w:val="00213514"/>
    <w:rsid w:val="00222568"/>
    <w:rsid w:val="0022492A"/>
    <w:rsid w:val="002541FD"/>
    <w:rsid w:val="002944A7"/>
    <w:rsid w:val="002A7837"/>
    <w:rsid w:val="002B1C17"/>
    <w:rsid w:val="00375181"/>
    <w:rsid w:val="003866BB"/>
    <w:rsid w:val="003873A2"/>
    <w:rsid w:val="003A4AFE"/>
    <w:rsid w:val="003B5299"/>
    <w:rsid w:val="003C3285"/>
    <w:rsid w:val="00445932"/>
    <w:rsid w:val="00446568"/>
    <w:rsid w:val="00460405"/>
    <w:rsid w:val="00462EDC"/>
    <w:rsid w:val="004671A9"/>
    <w:rsid w:val="0049086E"/>
    <w:rsid w:val="0049393F"/>
    <w:rsid w:val="0049557E"/>
    <w:rsid w:val="004A244D"/>
    <w:rsid w:val="004B3C83"/>
    <w:rsid w:val="004B47D2"/>
    <w:rsid w:val="004D1110"/>
    <w:rsid w:val="004D5221"/>
    <w:rsid w:val="004D58B7"/>
    <w:rsid w:val="004D65AF"/>
    <w:rsid w:val="00517583"/>
    <w:rsid w:val="00523BEA"/>
    <w:rsid w:val="00533910"/>
    <w:rsid w:val="00550067"/>
    <w:rsid w:val="00573D5C"/>
    <w:rsid w:val="005829FE"/>
    <w:rsid w:val="005A0FD4"/>
    <w:rsid w:val="005C523A"/>
    <w:rsid w:val="006248AE"/>
    <w:rsid w:val="006327A3"/>
    <w:rsid w:val="00647A5E"/>
    <w:rsid w:val="00662773"/>
    <w:rsid w:val="006F091D"/>
    <w:rsid w:val="00704AF2"/>
    <w:rsid w:val="007057A9"/>
    <w:rsid w:val="00707D08"/>
    <w:rsid w:val="00735276"/>
    <w:rsid w:val="00735F7F"/>
    <w:rsid w:val="00772DF3"/>
    <w:rsid w:val="00773E8D"/>
    <w:rsid w:val="007A0AA7"/>
    <w:rsid w:val="007D4098"/>
    <w:rsid w:val="007E5D12"/>
    <w:rsid w:val="008337B9"/>
    <w:rsid w:val="00840E3D"/>
    <w:rsid w:val="0086215A"/>
    <w:rsid w:val="008718D5"/>
    <w:rsid w:val="00876B60"/>
    <w:rsid w:val="00884FDD"/>
    <w:rsid w:val="00894D61"/>
    <w:rsid w:val="008B5B29"/>
    <w:rsid w:val="008E0917"/>
    <w:rsid w:val="008E5177"/>
    <w:rsid w:val="008F176B"/>
    <w:rsid w:val="0091209B"/>
    <w:rsid w:val="0092623A"/>
    <w:rsid w:val="00947048"/>
    <w:rsid w:val="0097340D"/>
    <w:rsid w:val="009A4A6D"/>
    <w:rsid w:val="009F16C5"/>
    <w:rsid w:val="00A21F9A"/>
    <w:rsid w:val="00A57D2A"/>
    <w:rsid w:val="00A90FBB"/>
    <w:rsid w:val="00AA5811"/>
    <w:rsid w:val="00AA68B4"/>
    <w:rsid w:val="00AD3710"/>
    <w:rsid w:val="00AE7D4E"/>
    <w:rsid w:val="00B04724"/>
    <w:rsid w:val="00B103BE"/>
    <w:rsid w:val="00B170BA"/>
    <w:rsid w:val="00B72397"/>
    <w:rsid w:val="00BA094D"/>
    <w:rsid w:val="00BB47B4"/>
    <w:rsid w:val="00BC529B"/>
    <w:rsid w:val="00BC607F"/>
    <w:rsid w:val="00BE78F6"/>
    <w:rsid w:val="00C16996"/>
    <w:rsid w:val="00C40395"/>
    <w:rsid w:val="00C57000"/>
    <w:rsid w:val="00C67096"/>
    <w:rsid w:val="00C67351"/>
    <w:rsid w:val="00CA42A6"/>
    <w:rsid w:val="00D0167B"/>
    <w:rsid w:val="00D534CD"/>
    <w:rsid w:val="00D60F75"/>
    <w:rsid w:val="00D970C4"/>
    <w:rsid w:val="00DA7EAB"/>
    <w:rsid w:val="00DC48A6"/>
    <w:rsid w:val="00DD672A"/>
    <w:rsid w:val="00DF063E"/>
    <w:rsid w:val="00DF59DF"/>
    <w:rsid w:val="00E1408B"/>
    <w:rsid w:val="00E4232D"/>
    <w:rsid w:val="00EB6E33"/>
    <w:rsid w:val="00EC4F7C"/>
    <w:rsid w:val="00EF76D7"/>
    <w:rsid w:val="00F069ED"/>
    <w:rsid w:val="00F914B4"/>
    <w:rsid w:val="00F963AF"/>
    <w:rsid w:val="00FA57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41F0E1-EBC0-4390-A526-BDCC681A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7A0AA7"/>
    <w:pPr>
      <w:jc w:val="right"/>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ind w:right="18"/>
      <w:jc w:val="right"/>
    </w:pPr>
    <w:rPr>
      <w:b/>
      <w:bCs/>
      <w:sz w:val="28"/>
      <w:szCs w:val="28"/>
    </w:rPr>
  </w:style>
  <w:style w:type="paragraph" w:styleId="ListParagraph">
    <w:name w:val="List Paragraph"/>
    <w:basedOn w:val="Normal"/>
    <w:uiPriority w:val="1"/>
    <w:qFormat/>
    <w:pPr>
      <w:ind w:left="100" w:right="119"/>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460405"/>
    <w:pPr>
      <w:tabs>
        <w:tab w:val="center" w:pos="4680"/>
        <w:tab w:val="right" w:pos="9360"/>
      </w:tabs>
    </w:pPr>
  </w:style>
  <w:style w:type="character" w:customStyle="1" w:styleId="HeaderChar">
    <w:name w:val="Header Char"/>
    <w:basedOn w:val="DefaultParagraphFont"/>
    <w:link w:val="Header"/>
    <w:uiPriority w:val="99"/>
    <w:rsid w:val="00460405"/>
    <w:rPr>
      <w:rFonts w:ascii="Times New Roman" w:eastAsia="Times New Roman" w:hAnsi="Times New Roman" w:cs="Times New Roman"/>
    </w:rPr>
  </w:style>
  <w:style w:type="paragraph" w:styleId="Footer">
    <w:name w:val="footer"/>
    <w:basedOn w:val="Normal"/>
    <w:link w:val="FooterChar"/>
    <w:uiPriority w:val="99"/>
    <w:unhideWhenUsed/>
    <w:rsid w:val="00460405"/>
    <w:pPr>
      <w:tabs>
        <w:tab w:val="center" w:pos="4680"/>
        <w:tab w:val="right" w:pos="9360"/>
      </w:tabs>
    </w:pPr>
  </w:style>
  <w:style w:type="character" w:customStyle="1" w:styleId="FooterChar">
    <w:name w:val="Footer Char"/>
    <w:basedOn w:val="DefaultParagraphFont"/>
    <w:link w:val="Footer"/>
    <w:uiPriority w:val="99"/>
    <w:rsid w:val="00460405"/>
    <w:rPr>
      <w:rFonts w:ascii="Times New Roman" w:eastAsia="Times New Roman" w:hAnsi="Times New Roman" w:cs="Times New Roman"/>
    </w:rPr>
  </w:style>
  <w:style w:type="paragraph" w:customStyle="1" w:styleId="Style1">
    <w:name w:val="Style1"/>
    <w:basedOn w:val="BodyText"/>
    <w:link w:val="Style1Char"/>
    <w:uiPriority w:val="1"/>
    <w:qFormat/>
    <w:rsid w:val="005A0FD4"/>
    <w:rPr>
      <w:rFonts w:ascii="Kokila" w:hAnsi="Kokila" w:cs="Kokila"/>
      <w:lang w:bidi="hi-IN"/>
    </w:rPr>
  </w:style>
  <w:style w:type="character" w:customStyle="1" w:styleId="Style1Char">
    <w:name w:val="Style1 Char"/>
    <w:basedOn w:val="DefaultParagraphFont"/>
    <w:link w:val="Style1"/>
    <w:uiPriority w:val="1"/>
    <w:rsid w:val="005A0FD4"/>
    <w:rPr>
      <w:rFonts w:ascii="Kokila" w:eastAsia="Times New Roman" w:hAnsi="Kokila" w:cs="Kokila"/>
      <w:sz w:val="24"/>
      <w:szCs w:val="24"/>
      <w:lang w:bidi="hi-IN"/>
    </w:rPr>
  </w:style>
  <w:style w:type="paragraph" w:customStyle="1" w:styleId="Style2">
    <w:name w:val="Style2"/>
    <w:basedOn w:val="BodyText"/>
    <w:link w:val="Style2Char"/>
    <w:uiPriority w:val="1"/>
    <w:qFormat/>
    <w:rsid w:val="00BB47B4"/>
  </w:style>
  <w:style w:type="character" w:customStyle="1" w:styleId="Heading1Char">
    <w:name w:val="Heading 1 Char"/>
    <w:basedOn w:val="DefaultParagraphFont"/>
    <w:link w:val="Heading1"/>
    <w:uiPriority w:val="1"/>
    <w:rsid w:val="007A0AA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B47B4"/>
    <w:rPr>
      <w:rFonts w:ascii="Times New Roman" w:eastAsia="Times New Roman" w:hAnsi="Times New Roman" w:cs="Times New Roman"/>
      <w:sz w:val="24"/>
      <w:szCs w:val="24"/>
    </w:rPr>
  </w:style>
  <w:style w:type="character" w:customStyle="1" w:styleId="Style2Char">
    <w:name w:val="Style2 Char"/>
    <w:basedOn w:val="BodyTextChar"/>
    <w:link w:val="Style2"/>
    <w:uiPriority w:val="1"/>
    <w:rsid w:val="00BB47B4"/>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718D5"/>
    <w:rPr>
      <w:color w:val="0000FF" w:themeColor="hyperlink"/>
      <w:u w:val="single"/>
    </w:rPr>
  </w:style>
  <w:style w:type="table" w:styleId="TableGrid">
    <w:name w:val="Table Grid"/>
    <w:basedOn w:val="TableNormal"/>
    <w:uiPriority w:val="39"/>
    <w:rsid w:val="00EF76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38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HP</cp:lastModifiedBy>
  <cp:revision>56</cp:revision>
  <cp:lastPrinted>2024-05-10T04:56:00Z</cp:lastPrinted>
  <dcterms:created xsi:type="dcterms:W3CDTF">2024-05-10T04:55:00Z</dcterms:created>
  <dcterms:modified xsi:type="dcterms:W3CDTF">2024-07-01T09:25:00Z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2013</vt:lpwstr>
  </property>
  <property fmtid="{D5CDD505-2E9C-101B-9397-08002B2CF9AE}" pid="4" name="LastSaved">
    <vt:filetime>2024-04-24T00:00:00Z</vt:filetime>
  </property>
</Properties>
</file>