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A4" w:rsidRDefault="00852C72" w:rsidP="00852C72">
      <w:pPr>
        <w:ind w:left="5760" w:right="219"/>
        <w:rPr>
          <w:b/>
          <w:sz w:val="24"/>
        </w:rPr>
      </w:pPr>
      <w:r>
        <w:rPr>
          <w:rFonts w:cstheme="minorBidi" w:hint="cs"/>
          <w:b/>
          <w:sz w:val="24"/>
          <w:cs/>
          <w:lang w:bidi="hi-IN"/>
        </w:rPr>
        <w:t xml:space="preserve">   </w:t>
      </w:r>
      <w:r w:rsidR="003E47A4" w:rsidRPr="00882070">
        <w:rPr>
          <w:b/>
          <w:sz w:val="24"/>
        </w:rPr>
        <w:t xml:space="preserve">Doc No. </w:t>
      </w:r>
      <w:r w:rsidR="003E47A4" w:rsidRPr="0032263F">
        <w:rPr>
          <w:b/>
          <w:sz w:val="24"/>
        </w:rPr>
        <w:t>FAD</w:t>
      </w:r>
      <w:r w:rsidR="003E47A4" w:rsidRPr="0032263F">
        <w:rPr>
          <w:b/>
          <w:spacing w:val="-2"/>
          <w:sz w:val="24"/>
        </w:rPr>
        <w:t xml:space="preserve"> </w:t>
      </w:r>
      <w:r w:rsidR="003E47A4" w:rsidRPr="0032263F">
        <w:rPr>
          <w:b/>
          <w:sz w:val="24"/>
        </w:rPr>
        <w:t>13 (225</w:t>
      </w:r>
      <w:r w:rsidR="003E47A4">
        <w:rPr>
          <w:b/>
          <w:sz w:val="24"/>
        </w:rPr>
        <w:t>80</w:t>
      </w:r>
      <w:r w:rsidR="003E47A4" w:rsidRPr="0032263F">
        <w:rPr>
          <w:b/>
          <w:sz w:val="24"/>
        </w:rPr>
        <w:t>)</w:t>
      </w:r>
      <w:r w:rsidR="00691DE2">
        <w:rPr>
          <w:b/>
          <w:sz w:val="24"/>
        </w:rPr>
        <w:t xml:space="preserve"> F</w:t>
      </w:r>
    </w:p>
    <w:p w:rsidR="00405DB3" w:rsidRDefault="00852C72" w:rsidP="00852C72">
      <w:pPr>
        <w:ind w:left="5760" w:right="219"/>
        <w:rPr>
          <w:b/>
          <w:sz w:val="24"/>
        </w:rPr>
      </w:pPr>
      <w:r>
        <w:rPr>
          <w:rFonts w:cstheme="minorBidi" w:hint="cs"/>
          <w:b/>
          <w:sz w:val="24"/>
          <w:cs/>
          <w:lang w:bidi="hi-IN"/>
        </w:rPr>
        <w:t xml:space="preserve">   </w:t>
      </w:r>
      <w:r w:rsidR="00405DB3">
        <w:rPr>
          <w:b/>
          <w:sz w:val="24"/>
        </w:rPr>
        <w:t>IS------: 2024</w:t>
      </w:r>
    </w:p>
    <w:p w:rsidR="003E47A4" w:rsidRDefault="00852C72" w:rsidP="00852C72">
      <w:pPr>
        <w:ind w:left="5760" w:right="219"/>
        <w:rPr>
          <w:b/>
          <w:sz w:val="24"/>
        </w:rPr>
      </w:pPr>
      <w:r>
        <w:rPr>
          <w:rFonts w:cstheme="minorBidi" w:hint="cs"/>
          <w:b/>
          <w:sz w:val="24"/>
          <w:cs/>
          <w:lang w:bidi="hi-IN"/>
        </w:rPr>
        <w:t xml:space="preserve">   </w:t>
      </w:r>
      <w:r w:rsidR="003E47A4" w:rsidRPr="0032263F">
        <w:rPr>
          <w:b/>
          <w:sz w:val="24"/>
        </w:rPr>
        <w:t xml:space="preserve">ISO </w:t>
      </w:r>
      <w:r w:rsidR="003E47A4" w:rsidRPr="003E47A4">
        <w:rPr>
          <w:b/>
          <w:sz w:val="24"/>
        </w:rPr>
        <w:t>16634-1 : 2008</w:t>
      </w:r>
    </w:p>
    <w:p w:rsidR="003E47A4" w:rsidRDefault="003E47A4" w:rsidP="003E47A4">
      <w:pPr>
        <w:spacing w:before="79"/>
        <w:ind w:left="7088" w:right="219" w:hanging="787"/>
        <w:rPr>
          <w:b/>
          <w:sz w:val="24"/>
        </w:rPr>
      </w:pPr>
    </w:p>
    <w:p w:rsidR="003E47A4" w:rsidRDefault="003E47A4" w:rsidP="003E47A4">
      <w:pPr>
        <w:tabs>
          <w:tab w:val="right" w:pos="8640"/>
        </w:tabs>
        <w:spacing w:before="240"/>
        <w:jc w:val="center"/>
        <w:rPr>
          <w:iCs/>
          <w:sz w:val="32"/>
          <w:szCs w:val="32"/>
          <w:lang w:val="en-IN"/>
        </w:rPr>
      </w:pPr>
      <w:r w:rsidRPr="00E51851">
        <w:rPr>
          <w:rFonts w:ascii="Nirmala UI" w:hAnsi="Nirmala UI" w:cs="Nirmala UI" w:hint="cs"/>
          <w:iCs/>
          <w:sz w:val="32"/>
          <w:szCs w:val="32"/>
          <w:cs/>
          <w:lang w:bidi="hi-IN"/>
        </w:rPr>
        <w:t>भारतीय</w:t>
      </w:r>
      <w:r w:rsidRPr="00E51851">
        <w:rPr>
          <w:iCs/>
          <w:sz w:val="32"/>
          <w:szCs w:val="32"/>
        </w:rPr>
        <w:t xml:space="preserve"> </w:t>
      </w:r>
      <w:r w:rsidRPr="00E51851">
        <w:rPr>
          <w:rFonts w:ascii="Nirmala UI" w:hAnsi="Nirmala UI" w:cs="Nirmala UI" w:hint="cs"/>
          <w:iCs/>
          <w:sz w:val="32"/>
          <w:szCs w:val="32"/>
          <w:cs/>
          <w:lang w:bidi="hi-IN"/>
        </w:rPr>
        <w:t>मानक</w:t>
      </w:r>
      <w:r w:rsidRPr="00E51851">
        <w:rPr>
          <w:iCs/>
          <w:sz w:val="32"/>
          <w:szCs w:val="32"/>
          <w:lang w:val="en-IN"/>
        </w:rPr>
        <w:t xml:space="preserve"> </w:t>
      </w:r>
    </w:p>
    <w:p w:rsidR="003E47A4" w:rsidRPr="009C1FA6" w:rsidRDefault="003E47A4" w:rsidP="009F32D6">
      <w:pPr>
        <w:ind w:right="720"/>
        <w:contextualSpacing/>
        <w:jc w:val="center"/>
        <w:outlineLvl w:val="3"/>
        <w:rPr>
          <w:rFonts w:ascii="Nirmala UI" w:hAnsi="Nirmala UI" w:cs="Nirmala UI"/>
          <w:b/>
          <w:bCs/>
          <w:i/>
          <w:sz w:val="32"/>
          <w:szCs w:val="32"/>
          <w:lang w:bidi="hi-IN"/>
        </w:rPr>
      </w:pPr>
      <w:r w:rsidRPr="009C1FA6">
        <w:rPr>
          <w:rFonts w:ascii="Nirmala UI" w:hAnsi="Nirmala UI" w:cs="Nirmala UI"/>
          <w:b/>
          <w:bCs/>
          <w:i/>
          <w:sz w:val="32"/>
          <w:szCs w:val="32"/>
          <w:cs/>
          <w:lang w:bidi="hi-IN"/>
        </w:rPr>
        <w:t>खाद्य उत्पाद — डूमाज़ सिद्धान्त अनुसार दहन द्वारा कुल नाइट्रोजन की मात्रा का निर्धारण और कच्चे प्रोटीन की मात्रा की</w:t>
      </w:r>
      <w:r w:rsidR="009C1FA6">
        <w:rPr>
          <w:rFonts w:ascii="Nirmala UI" w:hAnsi="Nirmala UI" w:cs="Nirmala UI"/>
          <w:b/>
          <w:bCs/>
          <w:i/>
          <w:sz w:val="32"/>
          <w:szCs w:val="32"/>
          <w:lang w:bidi="hi-IN"/>
        </w:rPr>
        <w:t xml:space="preserve">  </w:t>
      </w:r>
      <w:r w:rsidRPr="009C1FA6">
        <w:rPr>
          <w:rFonts w:ascii="Nirmala UI" w:hAnsi="Nirmala UI" w:cs="Nirmala UI"/>
          <w:b/>
          <w:bCs/>
          <w:i/>
          <w:sz w:val="32"/>
          <w:szCs w:val="32"/>
          <w:cs/>
          <w:lang w:bidi="hi-IN"/>
        </w:rPr>
        <w:t xml:space="preserve">गणना — </w:t>
      </w:r>
      <w:r w:rsidR="00F7566A" w:rsidRPr="009C1FA6">
        <w:rPr>
          <w:rFonts w:ascii="Nirmala UI" w:hAnsi="Nirmala UI" w:cs="Nirmala UI"/>
          <w:b/>
          <w:bCs/>
          <w:i/>
          <w:sz w:val="32"/>
          <w:szCs w:val="32"/>
          <w:cs/>
          <w:lang w:bidi="hi-IN"/>
        </w:rPr>
        <w:t>ति</w:t>
      </w:r>
      <w:r w:rsidRPr="009C1FA6">
        <w:rPr>
          <w:rFonts w:ascii="Nirmala UI" w:hAnsi="Nirmala UI" w:cs="Nirmala UI"/>
          <w:b/>
          <w:bCs/>
          <w:i/>
          <w:sz w:val="32"/>
          <w:szCs w:val="32"/>
          <w:cs/>
          <w:lang w:bidi="hi-IN"/>
        </w:rPr>
        <w:t>लहन और पशु आहार सामग्री</w:t>
      </w:r>
      <w:r w:rsidR="009C1FA6" w:rsidRPr="009C1FA6">
        <w:rPr>
          <w:rFonts w:ascii="Nirmala UI" w:hAnsi="Nirmala UI" w:cs="Nirmala UI"/>
          <w:b/>
          <w:bCs/>
          <w:i/>
          <w:sz w:val="32"/>
          <w:szCs w:val="32"/>
          <w:cs/>
          <w:lang w:bidi="hi-IN"/>
        </w:rPr>
        <w:t xml:space="preserve"> </w:t>
      </w:r>
    </w:p>
    <w:p w:rsidR="003E47A4" w:rsidRDefault="003E47A4" w:rsidP="003E47A4">
      <w:pPr>
        <w:ind w:right="720"/>
        <w:contextualSpacing/>
        <w:jc w:val="center"/>
        <w:outlineLvl w:val="3"/>
        <w:rPr>
          <w:sz w:val="24"/>
          <w:szCs w:val="24"/>
          <w:u w:color="000000"/>
        </w:rPr>
      </w:pPr>
    </w:p>
    <w:p w:rsidR="004824D7" w:rsidRDefault="004824D7" w:rsidP="003E47A4">
      <w:pPr>
        <w:jc w:val="center"/>
        <w:rPr>
          <w:bCs/>
          <w:i/>
          <w:sz w:val="32"/>
          <w:szCs w:val="32"/>
        </w:rPr>
      </w:pPr>
    </w:p>
    <w:p w:rsidR="003E47A4" w:rsidRPr="00E51851" w:rsidRDefault="003E47A4" w:rsidP="003E47A4">
      <w:pPr>
        <w:jc w:val="center"/>
        <w:rPr>
          <w:bCs/>
          <w:i/>
          <w:sz w:val="32"/>
          <w:szCs w:val="32"/>
        </w:rPr>
      </w:pPr>
      <w:r w:rsidRPr="00E51851">
        <w:rPr>
          <w:bCs/>
          <w:i/>
          <w:sz w:val="32"/>
          <w:szCs w:val="32"/>
        </w:rPr>
        <w:t>Indian Standard</w:t>
      </w:r>
    </w:p>
    <w:p w:rsidR="004824D7" w:rsidRPr="004824D7" w:rsidRDefault="004824D7" w:rsidP="009C1FA6">
      <w:pPr>
        <w:ind w:right="720"/>
        <w:contextualSpacing/>
        <w:jc w:val="center"/>
        <w:outlineLvl w:val="3"/>
        <w:rPr>
          <w:b/>
          <w:sz w:val="32"/>
          <w:szCs w:val="28"/>
        </w:rPr>
      </w:pPr>
      <w:r>
        <w:rPr>
          <w:b/>
          <w:sz w:val="32"/>
          <w:szCs w:val="28"/>
        </w:rPr>
        <w:t>Food Products — Determination of t</w:t>
      </w:r>
      <w:r w:rsidRPr="004824D7">
        <w:rPr>
          <w:b/>
          <w:sz w:val="32"/>
          <w:szCs w:val="28"/>
        </w:rPr>
        <w:t>he Total Nitrogen</w:t>
      </w:r>
    </w:p>
    <w:p w:rsidR="003E47A4" w:rsidRPr="009F32D6" w:rsidRDefault="004824D7" w:rsidP="009F32D6">
      <w:pPr>
        <w:ind w:right="720"/>
        <w:contextualSpacing/>
        <w:jc w:val="center"/>
        <w:outlineLvl w:val="3"/>
        <w:rPr>
          <w:b/>
          <w:sz w:val="32"/>
          <w:szCs w:val="28"/>
        </w:rPr>
      </w:pPr>
      <w:r>
        <w:rPr>
          <w:b/>
          <w:sz w:val="32"/>
          <w:szCs w:val="28"/>
        </w:rPr>
        <w:t>Content by Combustion According to the Dumas Principle a</w:t>
      </w:r>
      <w:r w:rsidRPr="004824D7">
        <w:rPr>
          <w:b/>
          <w:sz w:val="32"/>
          <w:szCs w:val="28"/>
        </w:rPr>
        <w:t>nd</w:t>
      </w:r>
      <w:r>
        <w:rPr>
          <w:b/>
          <w:sz w:val="32"/>
          <w:szCs w:val="28"/>
        </w:rPr>
        <w:t xml:space="preserve"> </w:t>
      </w:r>
      <w:r w:rsidRPr="004824D7">
        <w:rPr>
          <w:b/>
          <w:sz w:val="32"/>
          <w:szCs w:val="28"/>
        </w:rPr>
        <w:t xml:space="preserve">Calculation </w:t>
      </w:r>
      <w:r>
        <w:rPr>
          <w:b/>
          <w:sz w:val="32"/>
          <w:szCs w:val="28"/>
        </w:rPr>
        <w:t>o</w:t>
      </w:r>
      <w:r w:rsidRPr="004824D7">
        <w:rPr>
          <w:b/>
          <w:sz w:val="32"/>
          <w:szCs w:val="28"/>
        </w:rPr>
        <w:t>f</w:t>
      </w:r>
      <w:r>
        <w:rPr>
          <w:b/>
          <w:sz w:val="32"/>
          <w:szCs w:val="28"/>
        </w:rPr>
        <w:t xml:space="preserve"> t</w:t>
      </w:r>
      <w:r w:rsidRPr="004824D7">
        <w:rPr>
          <w:b/>
          <w:sz w:val="32"/>
          <w:szCs w:val="28"/>
        </w:rPr>
        <w:t>he Crude Protein Content —</w:t>
      </w:r>
      <w:r w:rsidR="009F32D6">
        <w:rPr>
          <w:rFonts w:cstheme="minorBidi" w:hint="cs"/>
          <w:b/>
          <w:sz w:val="32"/>
          <w:szCs w:val="28"/>
          <w:cs/>
          <w:lang w:bidi="hi-IN"/>
        </w:rPr>
        <w:t xml:space="preserve"> </w:t>
      </w:r>
      <w:r>
        <w:rPr>
          <w:b/>
          <w:sz w:val="32"/>
          <w:szCs w:val="28"/>
        </w:rPr>
        <w:t>Oilseeds a</w:t>
      </w:r>
      <w:r w:rsidRPr="004824D7">
        <w:rPr>
          <w:b/>
          <w:sz w:val="32"/>
          <w:szCs w:val="28"/>
        </w:rPr>
        <w:t>nd Animal Feeding Stuffs</w:t>
      </w:r>
    </w:p>
    <w:p w:rsidR="003E47A4" w:rsidRDefault="003E47A4" w:rsidP="003E47A4">
      <w:pPr>
        <w:ind w:right="720" w:firstLine="720"/>
        <w:contextualSpacing/>
        <w:jc w:val="center"/>
        <w:outlineLvl w:val="3"/>
        <w:rPr>
          <w:iCs/>
          <w:sz w:val="24"/>
          <w:szCs w:val="24"/>
        </w:rPr>
      </w:pPr>
    </w:p>
    <w:p w:rsidR="003E47A4" w:rsidRDefault="003E47A4" w:rsidP="003E47A4">
      <w:pPr>
        <w:ind w:right="720" w:firstLine="720"/>
        <w:contextualSpacing/>
        <w:jc w:val="center"/>
        <w:outlineLvl w:val="3"/>
        <w:rPr>
          <w:iCs/>
          <w:sz w:val="24"/>
          <w:szCs w:val="24"/>
        </w:rPr>
      </w:pPr>
    </w:p>
    <w:p w:rsidR="003E47A4" w:rsidRDefault="003E47A4" w:rsidP="003E47A4">
      <w:pPr>
        <w:ind w:right="720" w:firstLine="720"/>
        <w:contextualSpacing/>
        <w:jc w:val="center"/>
        <w:outlineLvl w:val="3"/>
        <w:rPr>
          <w:iCs/>
          <w:sz w:val="24"/>
          <w:szCs w:val="24"/>
        </w:rPr>
      </w:pPr>
    </w:p>
    <w:p w:rsidR="003E47A4" w:rsidRDefault="003E47A4" w:rsidP="003E47A4">
      <w:pPr>
        <w:ind w:right="720" w:firstLine="720"/>
        <w:contextualSpacing/>
        <w:jc w:val="center"/>
        <w:outlineLvl w:val="3"/>
        <w:rPr>
          <w:iCs/>
          <w:sz w:val="24"/>
          <w:szCs w:val="24"/>
        </w:rPr>
      </w:pPr>
    </w:p>
    <w:p w:rsidR="003E47A4" w:rsidRDefault="003E47A4" w:rsidP="003E47A4">
      <w:pPr>
        <w:pStyle w:val="BodyText"/>
        <w:ind w:left="804" w:right="720"/>
        <w:jc w:val="center"/>
      </w:pPr>
    </w:p>
    <w:p w:rsidR="003E47A4" w:rsidRDefault="003E47A4" w:rsidP="003E47A4">
      <w:pPr>
        <w:pStyle w:val="BodyText"/>
        <w:ind w:left="804" w:right="720"/>
        <w:jc w:val="center"/>
      </w:pPr>
    </w:p>
    <w:p w:rsidR="003E47A4" w:rsidRDefault="003E47A4" w:rsidP="003E47A4">
      <w:pPr>
        <w:ind w:right="720"/>
        <w:contextualSpacing/>
        <w:jc w:val="center"/>
        <w:outlineLvl w:val="3"/>
        <w:rPr>
          <w:iCs/>
          <w:sz w:val="24"/>
          <w:szCs w:val="24"/>
        </w:rPr>
      </w:pPr>
      <w:r w:rsidRPr="003E47A4">
        <w:rPr>
          <w:sz w:val="24"/>
          <w:szCs w:val="24"/>
        </w:rPr>
        <w:t>ICS 65.120; 67.050; 67.200.20</w:t>
      </w:r>
    </w:p>
    <w:p w:rsidR="003E47A4" w:rsidRDefault="003E47A4" w:rsidP="003E47A4">
      <w:pPr>
        <w:ind w:right="720"/>
        <w:contextualSpacing/>
        <w:jc w:val="center"/>
        <w:outlineLvl w:val="3"/>
        <w:rPr>
          <w:iCs/>
          <w:sz w:val="24"/>
          <w:szCs w:val="24"/>
        </w:rPr>
      </w:pPr>
    </w:p>
    <w:p w:rsidR="003E47A4" w:rsidRDefault="003E47A4" w:rsidP="003E47A4">
      <w:pPr>
        <w:ind w:right="720"/>
        <w:contextualSpacing/>
        <w:jc w:val="center"/>
        <w:outlineLvl w:val="3"/>
        <w:rPr>
          <w:iCs/>
          <w:sz w:val="24"/>
          <w:szCs w:val="24"/>
        </w:rPr>
      </w:pPr>
    </w:p>
    <w:p w:rsidR="003E47A4" w:rsidRDefault="003E47A4" w:rsidP="003E47A4">
      <w:pPr>
        <w:ind w:right="720"/>
        <w:contextualSpacing/>
        <w:jc w:val="center"/>
        <w:outlineLvl w:val="3"/>
        <w:rPr>
          <w:iCs/>
          <w:sz w:val="24"/>
          <w:szCs w:val="24"/>
        </w:rPr>
      </w:pPr>
    </w:p>
    <w:p w:rsidR="003E47A4" w:rsidRDefault="003E47A4" w:rsidP="003E47A4">
      <w:pPr>
        <w:ind w:right="720"/>
        <w:contextualSpacing/>
        <w:outlineLvl w:val="3"/>
        <w:rPr>
          <w:sz w:val="24"/>
          <w:szCs w:val="24"/>
          <w:u w:color="000000"/>
        </w:rPr>
      </w:pPr>
    </w:p>
    <w:p w:rsidR="003E47A4" w:rsidRDefault="003E47A4" w:rsidP="003E47A4">
      <w:pPr>
        <w:ind w:right="720"/>
        <w:contextualSpacing/>
        <w:jc w:val="center"/>
        <w:outlineLvl w:val="3"/>
        <w:rPr>
          <w:sz w:val="24"/>
          <w:szCs w:val="24"/>
          <w:u w:color="000000"/>
        </w:rPr>
      </w:pPr>
    </w:p>
    <w:p w:rsidR="003E47A4" w:rsidRDefault="003E47A4" w:rsidP="003E47A4">
      <w:pPr>
        <w:ind w:right="720"/>
        <w:contextualSpacing/>
        <w:jc w:val="center"/>
        <w:outlineLvl w:val="3"/>
        <w:rPr>
          <w:sz w:val="24"/>
          <w:szCs w:val="24"/>
          <w:u w:color="000000"/>
        </w:rPr>
      </w:pPr>
    </w:p>
    <w:p w:rsidR="003E47A4" w:rsidRPr="003F696C" w:rsidRDefault="003E47A4" w:rsidP="003E47A4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© BIS 2024</w:t>
      </w:r>
    </w:p>
    <w:p w:rsidR="003E47A4" w:rsidRPr="003F696C" w:rsidRDefault="003E47A4" w:rsidP="003E47A4">
      <w:pPr>
        <w:jc w:val="center"/>
        <w:rPr>
          <w:b/>
          <w:sz w:val="24"/>
          <w:szCs w:val="24"/>
          <w:lang w:val="pt-BR"/>
        </w:rPr>
      </w:pPr>
      <w:r w:rsidRPr="003F696C">
        <w:rPr>
          <w:b/>
          <w:sz w:val="24"/>
          <w:szCs w:val="24"/>
          <w:lang w:val="pt-BR"/>
        </w:rPr>
        <w:t>B U R E A U     O F     I N D I A N     S T A N D A R D S</w:t>
      </w:r>
    </w:p>
    <w:p w:rsidR="003E47A4" w:rsidRPr="003F696C" w:rsidRDefault="003E47A4" w:rsidP="003E47A4">
      <w:pPr>
        <w:jc w:val="center"/>
        <w:rPr>
          <w:sz w:val="24"/>
          <w:szCs w:val="24"/>
          <w:lang w:val="sv-SE"/>
        </w:rPr>
      </w:pPr>
      <w:r w:rsidRPr="003F696C">
        <w:rPr>
          <w:sz w:val="24"/>
          <w:szCs w:val="24"/>
          <w:lang w:val="sv-SE"/>
        </w:rPr>
        <w:t>MANAK BHAVAN, 9 BAHADUR SHAH ZAFAR MARG</w:t>
      </w:r>
    </w:p>
    <w:p w:rsidR="003E47A4" w:rsidRDefault="003E47A4" w:rsidP="003E47A4">
      <w:pPr>
        <w:jc w:val="center"/>
        <w:rPr>
          <w:b/>
          <w:bCs/>
          <w:sz w:val="24"/>
          <w:szCs w:val="24"/>
        </w:rPr>
      </w:pPr>
      <w:r w:rsidRPr="003F696C">
        <w:rPr>
          <w:sz w:val="24"/>
          <w:szCs w:val="24"/>
        </w:rPr>
        <w:t>NEW DELHI 110002</w:t>
      </w:r>
    </w:p>
    <w:p w:rsidR="003E47A4" w:rsidRDefault="003E47A4" w:rsidP="003E47A4">
      <w:pPr>
        <w:ind w:right="720"/>
        <w:contextualSpacing/>
        <w:jc w:val="both"/>
        <w:outlineLvl w:val="3"/>
        <w:rPr>
          <w:b/>
          <w:bCs/>
          <w:sz w:val="24"/>
          <w:szCs w:val="24"/>
        </w:rPr>
      </w:pPr>
    </w:p>
    <w:p w:rsidR="003E47A4" w:rsidRDefault="003E47A4" w:rsidP="003E47A4">
      <w:pPr>
        <w:ind w:right="720"/>
        <w:contextualSpacing/>
        <w:jc w:val="both"/>
        <w:outlineLvl w:val="3"/>
        <w:rPr>
          <w:b/>
          <w:bCs/>
          <w:sz w:val="24"/>
          <w:szCs w:val="24"/>
        </w:rPr>
      </w:pPr>
    </w:p>
    <w:p w:rsidR="003E47A4" w:rsidRDefault="003E47A4" w:rsidP="003E47A4">
      <w:pPr>
        <w:ind w:right="720"/>
        <w:contextualSpacing/>
        <w:jc w:val="both"/>
        <w:outlineLvl w:val="3"/>
        <w:rPr>
          <w:b/>
          <w:bCs/>
          <w:sz w:val="24"/>
          <w:szCs w:val="24"/>
        </w:rPr>
      </w:pPr>
    </w:p>
    <w:p w:rsidR="003E47A4" w:rsidRDefault="003E47A4" w:rsidP="003E47A4">
      <w:pPr>
        <w:ind w:right="720"/>
        <w:contextualSpacing/>
        <w:jc w:val="both"/>
        <w:outlineLvl w:val="3"/>
        <w:rPr>
          <w:b/>
          <w:bCs/>
          <w:sz w:val="24"/>
          <w:szCs w:val="24"/>
        </w:rPr>
      </w:pPr>
    </w:p>
    <w:p w:rsidR="003E47A4" w:rsidRDefault="003E47A4" w:rsidP="003E47A4">
      <w:pPr>
        <w:ind w:right="720"/>
        <w:contextualSpacing/>
        <w:jc w:val="both"/>
        <w:outlineLvl w:val="3"/>
        <w:rPr>
          <w:b/>
          <w:bCs/>
          <w:sz w:val="24"/>
          <w:szCs w:val="24"/>
        </w:rPr>
      </w:pPr>
    </w:p>
    <w:p w:rsidR="003E47A4" w:rsidRDefault="003E47A4" w:rsidP="003E47A4">
      <w:pPr>
        <w:ind w:right="720"/>
        <w:contextualSpacing/>
        <w:jc w:val="both"/>
        <w:outlineLvl w:val="3"/>
        <w:rPr>
          <w:b/>
          <w:bCs/>
          <w:sz w:val="24"/>
          <w:szCs w:val="24"/>
        </w:rPr>
      </w:pPr>
    </w:p>
    <w:p w:rsidR="003E47A4" w:rsidRDefault="003E47A4" w:rsidP="003E47A4">
      <w:pPr>
        <w:ind w:right="720"/>
        <w:contextualSpacing/>
        <w:jc w:val="both"/>
        <w:outlineLvl w:val="3"/>
        <w:rPr>
          <w:b/>
          <w:bCs/>
          <w:sz w:val="24"/>
          <w:szCs w:val="24"/>
        </w:rPr>
      </w:pPr>
    </w:p>
    <w:p w:rsidR="003E47A4" w:rsidRDefault="003E47A4" w:rsidP="003E47A4">
      <w:pPr>
        <w:ind w:right="720"/>
        <w:contextualSpacing/>
        <w:jc w:val="both"/>
        <w:outlineLvl w:val="3"/>
        <w:rPr>
          <w:b/>
          <w:bCs/>
          <w:sz w:val="24"/>
          <w:szCs w:val="24"/>
        </w:rPr>
      </w:pPr>
    </w:p>
    <w:p w:rsidR="003E47A4" w:rsidRDefault="003E47A4" w:rsidP="003E47A4">
      <w:pPr>
        <w:ind w:right="720"/>
        <w:contextualSpacing/>
        <w:jc w:val="both"/>
        <w:outlineLvl w:val="3"/>
        <w:rPr>
          <w:b/>
          <w:bCs/>
          <w:sz w:val="24"/>
          <w:szCs w:val="24"/>
        </w:rPr>
      </w:pPr>
    </w:p>
    <w:p w:rsidR="003E47A4" w:rsidRDefault="003E47A4" w:rsidP="003E47A4">
      <w:pPr>
        <w:jc w:val="both"/>
        <w:rPr>
          <w:b/>
          <w:bCs/>
          <w:sz w:val="24"/>
          <w:szCs w:val="24"/>
        </w:rPr>
      </w:pPr>
    </w:p>
    <w:p w:rsidR="00853E81" w:rsidRDefault="00853E81" w:rsidP="003E47A4">
      <w:pPr>
        <w:jc w:val="both"/>
        <w:rPr>
          <w:b/>
          <w:bCs/>
          <w:sz w:val="24"/>
          <w:szCs w:val="24"/>
        </w:rPr>
      </w:pPr>
    </w:p>
    <w:p w:rsidR="00853E81" w:rsidRDefault="00853E81" w:rsidP="003E47A4">
      <w:pPr>
        <w:jc w:val="both"/>
        <w:rPr>
          <w:b/>
          <w:bCs/>
          <w:sz w:val="24"/>
          <w:szCs w:val="24"/>
        </w:rPr>
      </w:pPr>
    </w:p>
    <w:p w:rsidR="00853E81" w:rsidRDefault="003E47A4" w:rsidP="00853E81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September 2024                                                                                                        </w:t>
      </w:r>
      <w:r w:rsidRPr="003F696C">
        <w:rPr>
          <w:b/>
          <w:sz w:val="24"/>
          <w:szCs w:val="24"/>
        </w:rPr>
        <w:t>Price Group</w:t>
      </w:r>
    </w:p>
    <w:p w:rsidR="003E47A4" w:rsidRPr="00853E81" w:rsidRDefault="003E47A4" w:rsidP="00853E81">
      <w:pPr>
        <w:jc w:val="both"/>
        <w:rPr>
          <w:sz w:val="24"/>
          <w:szCs w:val="24"/>
        </w:rPr>
      </w:pPr>
      <w:r>
        <w:lastRenderedPageBreak/>
        <w:t>Oils a</w:t>
      </w:r>
      <w:r w:rsidRPr="00F72BF8">
        <w:t>nd Oilseeds</w:t>
      </w:r>
      <w:r>
        <w:t xml:space="preserve"> Sectional Committee, FAD 13</w:t>
      </w:r>
    </w:p>
    <w:p w:rsidR="003E47A4" w:rsidRDefault="003E47A4" w:rsidP="003E47A4">
      <w:pPr>
        <w:pStyle w:val="BodyText"/>
        <w:spacing w:before="215"/>
        <w:jc w:val="both"/>
      </w:pPr>
    </w:p>
    <w:p w:rsidR="003E47A4" w:rsidRDefault="003E47A4" w:rsidP="003E47A4">
      <w:pPr>
        <w:pStyle w:val="BodyText"/>
        <w:spacing w:before="215"/>
        <w:jc w:val="both"/>
      </w:pPr>
      <w:r>
        <w:t>NATIONAL</w:t>
      </w:r>
      <w:r>
        <w:rPr>
          <w:spacing w:val="-4"/>
        </w:rPr>
        <w:t xml:space="preserve"> </w:t>
      </w:r>
      <w:r>
        <w:t>FOREWORD</w:t>
      </w:r>
    </w:p>
    <w:p w:rsidR="006B7F4A" w:rsidRDefault="00744973"/>
    <w:p w:rsidR="005928A8" w:rsidRDefault="005928A8" w:rsidP="009621D4">
      <w:pPr>
        <w:pStyle w:val="BodyText"/>
        <w:ind w:right="276"/>
        <w:jc w:val="both"/>
      </w:pPr>
      <w:r>
        <w:t xml:space="preserve">This Indian standard which is identical with </w:t>
      </w:r>
      <w:r w:rsidRPr="005928A8">
        <w:t xml:space="preserve">ISO 16634-1 : 2008 ‘Food products </w:t>
      </w:r>
      <w:r>
        <w:t xml:space="preserve">                      </w:t>
      </w:r>
      <w:r w:rsidRPr="005928A8">
        <w:t xml:space="preserve">— Determination of the total nitrogen content by combustion according to the Dumas principle and calculation of the crude protein content — Part 1 Oilseeds and animal feeding stuffs’ </w:t>
      </w:r>
      <w:r>
        <w:t>issued</w:t>
      </w:r>
      <w:r>
        <w:rPr>
          <w:spacing w:val="-58"/>
        </w:rPr>
        <w:t xml:space="preserve">                         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 Organization for Standardization</w:t>
      </w:r>
      <w:r>
        <w:rPr>
          <w:spacing w:val="-1"/>
        </w:rPr>
        <w:t xml:space="preserve"> </w:t>
      </w:r>
      <w:r>
        <w:t xml:space="preserve">(ISO) </w:t>
      </w:r>
      <w:r w:rsidRPr="00BE03D8">
        <w:t xml:space="preserve">was adopted by the Bureau of Indian Standard on recommendation of the </w:t>
      </w:r>
      <w:r w:rsidRPr="00B14721">
        <w:t xml:space="preserve">Oils and Oilseeds </w:t>
      </w:r>
      <w:r w:rsidRPr="00BE03D8">
        <w:t>Sectional Committee and approval of the Food and Agriculture Division Council.</w:t>
      </w:r>
    </w:p>
    <w:p w:rsidR="005928A8" w:rsidRDefault="005928A8" w:rsidP="005928A8">
      <w:pPr>
        <w:pStyle w:val="BodyText"/>
        <w:spacing w:line="276" w:lineRule="auto"/>
        <w:ind w:right="276"/>
        <w:jc w:val="both"/>
      </w:pPr>
    </w:p>
    <w:p w:rsidR="005928A8" w:rsidRPr="00F7566A" w:rsidRDefault="005928A8" w:rsidP="009621D4">
      <w:pPr>
        <w:pStyle w:val="BodyText"/>
        <w:spacing w:before="1"/>
        <w:ind w:right="296"/>
        <w:jc w:val="both"/>
        <w:rPr>
          <w:rFonts w:cstheme="minorBidi"/>
          <w:szCs w:val="21"/>
          <w:lang w:val="en-IN" w:bidi="hi-IN"/>
        </w:rPr>
      </w:pPr>
      <w:r>
        <w:t>ISO</w:t>
      </w:r>
      <w:r>
        <w:rPr>
          <w:spacing w:val="-2"/>
        </w:rPr>
        <w:t xml:space="preserve"> </w:t>
      </w:r>
      <w:r>
        <w:t>16634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‘Food</w:t>
      </w:r>
      <w:r>
        <w:rPr>
          <w:spacing w:val="-8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Determination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total nitrogen content by combustion according to the Dumas principle and calculation of the</w:t>
      </w:r>
      <w:r>
        <w:rPr>
          <w:spacing w:val="1"/>
        </w:rPr>
        <w:t xml:space="preserve"> </w:t>
      </w:r>
      <w:r>
        <w:t xml:space="preserve">crude protein content’. ISO 16634-2 : 2016 </w:t>
      </w:r>
      <w:r>
        <w:rPr>
          <w:color w:val="202429"/>
        </w:rPr>
        <w:t xml:space="preserve">specifies a method for the </w:t>
      </w:r>
      <w:r>
        <w:t xml:space="preserve">determination of </w:t>
      </w:r>
      <w:r>
        <w:rPr>
          <w:color w:val="202429"/>
        </w:rPr>
        <w:t>the total</w:t>
      </w:r>
      <w:r>
        <w:rPr>
          <w:color w:val="202429"/>
          <w:spacing w:val="1"/>
        </w:rPr>
        <w:t xml:space="preserve"> </w:t>
      </w:r>
      <w:r>
        <w:rPr>
          <w:color w:val="202429"/>
          <w:spacing w:val="-1"/>
        </w:rPr>
        <w:t>nitrogen</w:t>
      </w:r>
      <w:r>
        <w:rPr>
          <w:color w:val="202429"/>
          <w:spacing w:val="-11"/>
        </w:rPr>
        <w:t xml:space="preserve"> </w:t>
      </w:r>
      <w:r>
        <w:rPr>
          <w:color w:val="202429"/>
          <w:spacing w:val="-1"/>
        </w:rPr>
        <w:t>content</w:t>
      </w:r>
      <w:r>
        <w:rPr>
          <w:color w:val="202429"/>
          <w:spacing w:val="-11"/>
        </w:rPr>
        <w:t xml:space="preserve"> </w:t>
      </w:r>
      <w:r>
        <w:rPr>
          <w:color w:val="202429"/>
          <w:spacing w:val="-1"/>
        </w:rPr>
        <w:t>and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"/>
        </w:rPr>
        <w:t>the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calculation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"/>
        </w:rPr>
        <w:t>of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"/>
        </w:rPr>
        <w:t>the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"/>
        </w:rPr>
        <w:t>crude</w:t>
      </w:r>
      <w:r>
        <w:rPr>
          <w:color w:val="202429"/>
          <w:spacing w:val="-14"/>
        </w:rPr>
        <w:t xml:space="preserve"> </w:t>
      </w:r>
      <w:r>
        <w:rPr>
          <w:color w:val="202429"/>
          <w:spacing w:val="-1"/>
        </w:rPr>
        <w:t>protein</w:t>
      </w:r>
      <w:r>
        <w:rPr>
          <w:color w:val="202429"/>
          <w:spacing w:val="-13"/>
        </w:rPr>
        <w:t xml:space="preserve"> </w:t>
      </w:r>
      <w:r>
        <w:rPr>
          <w:color w:val="202429"/>
          <w:spacing w:val="-1"/>
        </w:rPr>
        <w:t>content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of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cereals,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pulses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and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milled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cereal</w:t>
      </w:r>
      <w:r>
        <w:rPr>
          <w:color w:val="202429"/>
          <w:spacing w:val="-57"/>
        </w:rPr>
        <w:t xml:space="preserve"> </w:t>
      </w:r>
      <w:r>
        <w:rPr>
          <w:color w:val="202429"/>
        </w:rPr>
        <w:t>products and has been identically adopted as Indian Standard under single numbering system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(IS/</w:t>
      </w:r>
      <w:r>
        <w:t>ISO</w:t>
      </w:r>
      <w:r>
        <w:rPr>
          <w:spacing w:val="-1"/>
        </w:rPr>
        <w:t xml:space="preserve"> </w:t>
      </w:r>
      <w:r>
        <w:t>16634-2 : 2016</w:t>
      </w:r>
      <w:r w:rsidR="00F7566A">
        <w:rPr>
          <w:color w:val="202429"/>
        </w:rPr>
        <w:t>)</w:t>
      </w:r>
      <w:r w:rsidR="00F7566A">
        <w:rPr>
          <w:rFonts w:cstheme="minorBidi"/>
          <w:color w:val="202429"/>
          <w:szCs w:val="21"/>
          <w:lang w:bidi="hi-IN"/>
        </w:rPr>
        <w:t xml:space="preserve">, under the Test Method for Food Products </w:t>
      </w:r>
      <w:r w:rsidR="00F7566A">
        <w:t>Sectional Committee.</w:t>
      </w:r>
      <w:r w:rsidR="00F7566A">
        <w:rPr>
          <w:rFonts w:ascii="Kokila" w:hAnsi="Kokila" w:cs="Kokila" w:hint="cs"/>
          <w:color w:val="202429"/>
          <w:szCs w:val="21"/>
          <w:cs/>
          <w:lang w:bidi="hi-IN"/>
        </w:rPr>
        <w:t xml:space="preserve"> </w:t>
      </w:r>
    </w:p>
    <w:p w:rsidR="005928A8" w:rsidRDefault="005928A8" w:rsidP="005928A8">
      <w:pPr>
        <w:pStyle w:val="BodyText"/>
        <w:jc w:val="both"/>
      </w:pPr>
    </w:p>
    <w:p w:rsidR="005928A8" w:rsidRDefault="005928A8" w:rsidP="009621D4">
      <w:pPr>
        <w:pStyle w:val="BodyText"/>
        <w:ind w:right="303"/>
        <w:jc w:val="both"/>
      </w:pPr>
      <w:r>
        <w:t>The text of ISO Standard has been approved as suitable for publication as an Indian Standard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deviations.</w:t>
      </w:r>
      <w:r>
        <w:rPr>
          <w:spacing w:val="1"/>
        </w:rPr>
        <w:t xml:space="preserve"> </w:t>
      </w:r>
      <w:r>
        <w:t>Certain conventions are, however, not identical to</w:t>
      </w:r>
      <w:r>
        <w:rPr>
          <w:spacing w:val="1"/>
        </w:rPr>
        <w:t xml:space="preserve"> </w:t>
      </w:r>
      <w:r>
        <w:t>those used in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Standards.</w:t>
      </w:r>
      <w:r>
        <w:rPr>
          <w:spacing w:val="-1"/>
        </w:rPr>
        <w:t xml:space="preserve"> </w:t>
      </w:r>
      <w:r>
        <w:t>Attention is particularly</w:t>
      </w:r>
      <w:r>
        <w:rPr>
          <w:spacing w:val="-5"/>
        </w:rPr>
        <w:t xml:space="preserve"> </w:t>
      </w:r>
      <w:r>
        <w:t>drawn to the following:</w:t>
      </w:r>
    </w:p>
    <w:p w:rsidR="005928A8" w:rsidRDefault="005928A8" w:rsidP="009621D4">
      <w:pPr>
        <w:pStyle w:val="BodyText"/>
        <w:spacing w:before="10"/>
        <w:jc w:val="both"/>
        <w:rPr>
          <w:sz w:val="20"/>
        </w:rPr>
      </w:pPr>
    </w:p>
    <w:p w:rsidR="005928A8" w:rsidRDefault="005928A8" w:rsidP="009621D4">
      <w:pPr>
        <w:pStyle w:val="ListParagraph"/>
        <w:numPr>
          <w:ilvl w:val="0"/>
          <w:numId w:val="1"/>
        </w:numPr>
        <w:tabs>
          <w:tab w:val="left" w:pos="1204"/>
        </w:tabs>
        <w:jc w:val="both"/>
        <w:rPr>
          <w:sz w:val="24"/>
        </w:rPr>
      </w:pPr>
      <w:r>
        <w:rPr>
          <w:sz w:val="24"/>
        </w:rPr>
        <w:t>Wherever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words</w:t>
      </w:r>
      <w:r>
        <w:rPr>
          <w:spacing w:val="38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37"/>
          <w:sz w:val="24"/>
        </w:rPr>
        <w:t xml:space="preserve"> </w:t>
      </w:r>
      <w:r>
        <w:rPr>
          <w:sz w:val="24"/>
        </w:rPr>
        <w:t>Standard’</w:t>
      </w:r>
      <w:r>
        <w:rPr>
          <w:spacing w:val="38"/>
          <w:sz w:val="24"/>
        </w:rPr>
        <w:t xml:space="preserve"> </w:t>
      </w:r>
      <w:r>
        <w:rPr>
          <w:sz w:val="24"/>
        </w:rPr>
        <w:t>appear</w:t>
      </w:r>
      <w:r>
        <w:rPr>
          <w:spacing w:val="38"/>
          <w:sz w:val="24"/>
        </w:rPr>
        <w:t xml:space="preserve"> </w:t>
      </w:r>
      <w:r>
        <w:rPr>
          <w:sz w:val="24"/>
        </w:rPr>
        <w:t>referring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this</w:t>
      </w:r>
      <w:r>
        <w:rPr>
          <w:spacing w:val="37"/>
          <w:sz w:val="24"/>
        </w:rPr>
        <w:t xml:space="preserve"> </w:t>
      </w:r>
      <w:r>
        <w:rPr>
          <w:sz w:val="24"/>
        </w:rPr>
        <w:t>standard,</w:t>
      </w:r>
      <w:r>
        <w:rPr>
          <w:spacing w:val="37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1"/>
          <w:sz w:val="24"/>
        </w:rPr>
        <w:t xml:space="preserve"> </w:t>
      </w:r>
      <w:r>
        <w:rPr>
          <w:sz w:val="24"/>
        </w:rPr>
        <w:t>Standard’.</w:t>
      </w:r>
    </w:p>
    <w:p w:rsidR="005928A8" w:rsidRDefault="005928A8" w:rsidP="009621D4">
      <w:pPr>
        <w:pStyle w:val="ListParagraph"/>
        <w:numPr>
          <w:ilvl w:val="0"/>
          <w:numId w:val="1"/>
        </w:numPr>
        <w:tabs>
          <w:tab w:val="left" w:pos="1204"/>
        </w:tabs>
        <w:spacing w:before="76"/>
        <w:ind w:right="306"/>
        <w:jc w:val="both"/>
        <w:rPr>
          <w:sz w:val="24"/>
        </w:rPr>
      </w:pPr>
      <w:r>
        <w:rPr>
          <w:sz w:val="24"/>
        </w:rPr>
        <w:t>Comma</w:t>
      </w:r>
      <w:r>
        <w:rPr>
          <w:spacing w:val="16"/>
          <w:sz w:val="24"/>
        </w:rPr>
        <w:t xml:space="preserve"> </w:t>
      </w:r>
      <w:r>
        <w:rPr>
          <w:sz w:val="24"/>
        </w:rPr>
        <w:t>(,)</w:t>
      </w:r>
      <w:r>
        <w:rPr>
          <w:spacing w:val="16"/>
          <w:sz w:val="24"/>
        </w:rPr>
        <w:t xml:space="preserve"> </w:t>
      </w:r>
      <w:r>
        <w:rPr>
          <w:sz w:val="24"/>
        </w:rPr>
        <w:t>has</w:t>
      </w:r>
      <w:r>
        <w:rPr>
          <w:spacing w:val="18"/>
          <w:sz w:val="24"/>
        </w:rPr>
        <w:t xml:space="preserve"> </w:t>
      </w:r>
      <w:r>
        <w:rPr>
          <w:sz w:val="24"/>
        </w:rPr>
        <w:t>been</w:t>
      </w:r>
      <w:r>
        <w:rPr>
          <w:spacing w:val="17"/>
          <w:sz w:val="24"/>
        </w:rPr>
        <w:t xml:space="preserve"> </w:t>
      </w:r>
      <w:r>
        <w:rPr>
          <w:sz w:val="24"/>
        </w:rPr>
        <w:t>used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decimal</w:t>
      </w:r>
      <w:r>
        <w:rPr>
          <w:spacing w:val="17"/>
          <w:sz w:val="24"/>
        </w:rPr>
        <w:t xml:space="preserve"> </w:t>
      </w:r>
      <w:r>
        <w:rPr>
          <w:sz w:val="24"/>
        </w:rPr>
        <w:t>marker</w:t>
      </w:r>
      <w:r>
        <w:rPr>
          <w:spacing w:val="17"/>
          <w:sz w:val="24"/>
        </w:rPr>
        <w:t xml:space="preserve"> </w:t>
      </w:r>
      <w:r>
        <w:rPr>
          <w:sz w:val="24"/>
        </w:rPr>
        <w:t>while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Indian</w:t>
      </w:r>
      <w:r>
        <w:rPr>
          <w:spacing w:val="17"/>
          <w:sz w:val="24"/>
        </w:rPr>
        <w:t xml:space="preserve"> </w:t>
      </w:r>
      <w:r>
        <w:rPr>
          <w:sz w:val="24"/>
        </w:rPr>
        <w:t>Standards,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is to use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 (.)</w:t>
      </w:r>
      <w:r>
        <w:rPr>
          <w:spacing w:val="-2"/>
          <w:sz w:val="24"/>
        </w:rPr>
        <w:t xml:space="preserve"> </w:t>
      </w:r>
      <w:r>
        <w:rPr>
          <w:sz w:val="24"/>
        </w:rPr>
        <w:t>as 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 marker.</w:t>
      </w:r>
    </w:p>
    <w:p w:rsidR="005928A8" w:rsidRDefault="005928A8" w:rsidP="005928A8">
      <w:pPr>
        <w:pStyle w:val="BodyText"/>
        <w:spacing w:before="10"/>
        <w:rPr>
          <w:sz w:val="20"/>
        </w:rPr>
      </w:pPr>
    </w:p>
    <w:p w:rsidR="005928A8" w:rsidRDefault="005928A8" w:rsidP="009621D4">
      <w:pPr>
        <w:pStyle w:val="BodyText"/>
        <w:ind w:right="295"/>
        <w:jc w:val="both"/>
      </w:pPr>
      <w:r>
        <w:t>In this adopted standard, reference appears to the following International Standard</w:t>
      </w:r>
      <w:r w:rsidR="00853E81">
        <w:t>s</w:t>
      </w:r>
      <w:r>
        <w:t xml:space="preserve"> for which</w:t>
      </w:r>
      <w:r>
        <w:rPr>
          <w:spacing w:val="1"/>
        </w:rPr>
        <w:t xml:space="preserve"> </w:t>
      </w:r>
      <w:r>
        <w:t>Indian Standard</w:t>
      </w:r>
      <w:r w:rsidR="00853E81">
        <w:t>s also exist</w:t>
      </w:r>
      <w:bookmarkStart w:id="0" w:name="_GoBack"/>
      <w:bookmarkEnd w:id="0"/>
      <w:r>
        <w:t>. The corresponding Indian Standard which is to be substituted in its</w:t>
      </w:r>
      <w:r>
        <w:rPr>
          <w:spacing w:val="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is listed below</w:t>
      </w:r>
      <w:r>
        <w:rPr>
          <w:spacing w:val="-1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 its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 equivalence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edition indicated.</w:t>
      </w:r>
    </w:p>
    <w:p w:rsidR="005928A8" w:rsidRDefault="005928A8" w:rsidP="009621D4">
      <w:pPr>
        <w:pStyle w:val="BodyText"/>
        <w:spacing w:before="10"/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3178"/>
        <w:gridCol w:w="2090"/>
      </w:tblGrid>
      <w:tr w:rsidR="005928A8" w:rsidTr="005928A8">
        <w:trPr>
          <w:trHeight w:val="546"/>
        </w:trPr>
        <w:tc>
          <w:tcPr>
            <w:tcW w:w="3405" w:type="dxa"/>
          </w:tcPr>
          <w:p w:rsidR="005928A8" w:rsidRDefault="005928A8" w:rsidP="009621D4">
            <w:pPr>
              <w:pStyle w:val="TableParagraph"/>
              <w:spacing w:line="240" w:lineRule="auto"/>
              <w:ind w:left="644"/>
              <w:rPr>
                <w:i/>
                <w:sz w:val="24"/>
              </w:rPr>
            </w:pP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Standard</w:t>
            </w:r>
          </w:p>
        </w:tc>
        <w:tc>
          <w:tcPr>
            <w:tcW w:w="3178" w:type="dxa"/>
          </w:tcPr>
          <w:p w:rsidR="005928A8" w:rsidRDefault="005928A8" w:rsidP="009621D4">
            <w:pPr>
              <w:pStyle w:val="TableParagraph"/>
              <w:spacing w:line="240" w:lineRule="auto"/>
              <w:ind w:left="424" w:right="5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Corresponding Indian</w:t>
            </w:r>
          </w:p>
          <w:p w:rsidR="005928A8" w:rsidRDefault="005928A8" w:rsidP="009621D4">
            <w:pPr>
              <w:pStyle w:val="TableParagraph"/>
              <w:spacing w:line="240" w:lineRule="auto"/>
              <w:ind w:left="422" w:right="5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Standard</w:t>
            </w:r>
          </w:p>
        </w:tc>
        <w:tc>
          <w:tcPr>
            <w:tcW w:w="2090" w:type="dxa"/>
          </w:tcPr>
          <w:p w:rsidR="005928A8" w:rsidRDefault="005928A8" w:rsidP="009621D4">
            <w:pPr>
              <w:pStyle w:val="TableParagraph"/>
              <w:spacing w:line="240" w:lineRule="auto"/>
              <w:ind w:left="236" w:right="1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Degree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Equivalence</w:t>
            </w:r>
          </w:p>
        </w:tc>
      </w:tr>
      <w:tr w:rsidR="005928A8" w:rsidTr="005928A8">
        <w:trPr>
          <w:trHeight w:val="1380"/>
        </w:trPr>
        <w:tc>
          <w:tcPr>
            <w:tcW w:w="3405" w:type="dxa"/>
          </w:tcPr>
          <w:p w:rsidR="005928A8" w:rsidRDefault="005928A8" w:rsidP="009621D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6496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feeding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stuffs</w:t>
            </w:r>
          </w:p>
          <w:p w:rsidR="005928A8" w:rsidRDefault="005928A8" w:rsidP="009621D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volatile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  <w:tc>
          <w:tcPr>
            <w:tcW w:w="3178" w:type="dxa"/>
          </w:tcPr>
          <w:p w:rsidR="005928A8" w:rsidRDefault="005928A8" w:rsidP="009621D4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IS/ISO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6496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</w:p>
          <w:p w:rsidR="005928A8" w:rsidRDefault="005928A8" w:rsidP="009621D4">
            <w:pPr>
              <w:pStyle w:val="TableParagraph"/>
              <w:tabs>
                <w:tab w:val="left" w:pos="1484"/>
                <w:tab w:val="left" w:pos="2680"/>
              </w:tabs>
              <w:spacing w:line="240" w:lineRule="auto"/>
              <w:ind w:left="107" w:right="2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Feeding stuffs </w:t>
            </w:r>
            <w:r>
              <w:rPr>
                <w:spacing w:val="-4"/>
                <w:sz w:val="24"/>
              </w:rPr>
              <w:t>—</w:t>
            </w:r>
            <w:r>
              <w:rPr>
                <w:sz w:val="24"/>
              </w:rPr>
              <w:t>Determination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volatile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  <w:tc>
          <w:tcPr>
            <w:tcW w:w="2090" w:type="dxa"/>
          </w:tcPr>
          <w:p w:rsidR="005928A8" w:rsidRDefault="005928A8" w:rsidP="009621D4">
            <w:pPr>
              <w:pStyle w:val="TableParagraph"/>
              <w:spacing w:line="240" w:lineRule="auto"/>
              <w:ind w:left="236" w:right="177"/>
              <w:jc w:val="center"/>
              <w:rPr>
                <w:sz w:val="24"/>
              </w:rPr>
            </w:pPr>
            <w:r>
              <w:rPr>
                <w:sz w:val="24"/>
              </w:rPr>
              <w:t>Identical</w:t>
            </w:r>
          </w:p>
        </w:tc>
      </w:tr>
      <w:tr w:rsidR="005928A8" w:rsidTr="005928A8">
        <w:trPr>
          <w:trHeight w:val="1099"/>
        </w:trPr>
        <w:tc>
          <w:tcPr>
            <w:tcW w:w="3405" w:type="dxa"/>
          </w:tcPr>
          <w:p w:rsidR="005928A8" w:rsidRDefault="005928A8" w:rsidP="009621D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6498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feeding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stuffs</w:t>
            </w:r>
          </w:p>
          <w:p w:rsidR="005928A8" w:rsidRDefault="005928A8" w:rsidP="009621D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samples</w:t>
            </w:r>
          </w:p>
        </w:tc>
        <w:tc>
          <w:tcPr>
            <w:tcW w:w="3178" w:type="dxa"/>
          </w:tcPr>
          <w:p w:rsidR="005928A8" w:rsidRDefault="005928A8" w:rsidP="009621D4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14831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2021/ISO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6498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5928A8" w:rsidRDefault="005928A8" w:rsidP="009621D4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Animal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feeding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stuffs</w:t>
            </w:r>
          </w:p>
          <w:p w:rsidR="005928A8" w:rsidRDefault="005928A8" w:rsidP="009621D4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Guidelines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2090" w:type="dxa"/>
          </w:tcPr>
          <w:p w:rsidR="005928A8" w:rsidRDefault="005928A8" w:rsidP="009621D4">
            <w:pPr>
              <w:pStyle w:val="TableParagraph"/>
              <w:spacing w:line="240" w:lineRule="auto"/>
              <w:ind w:left="236" w:right="177"/>
              <w:jc w:val="center"/>
              <w:rPr>
                <w:sz w:val="24"/>
              </w:rPr>
            </w:pPr>
            <w:r>
              <w:rPr>
                <w:sz w:val="24"/>
              </w:rPr>
              <w:t>Identical</w:t>
            </w:r>
          </w:p>
        </w:tc>
      </w:tr>
    </w:tbl>
    <w:p w:rsidR="005928A8" w:rsidRDefault="005928A8" w:rsidP="009621D4">
      <w:pPr>
        <w:pStyle w:val="BodyText"/>
        <w:spacing w:before="9"/>
        <w:rPr>
          <w:sz w:val="23"/>
        </w:rPr>
      </w:pPr>
    </w:p>
    <w:p w:rsidR="005928A8" w:rsidRDefault="005928A8" w:rsidP="009621D4">
      <w:pPr>
        <w:pStyle w:val="BodyText"/>
        <w:ind w:right="296"/>
        <w:jc w:val="both"/>
      </w:pPr>
      <w:r>
        <w:t>The Technical Committee has reviewed the provisions of the following International Standards</w:t>
      </w:r>
      <w:r>
        <w:rPr>
          <w:spacing w:val="1"/>
        </w:rPr>
        <w:t xml:space="preserve"> </w:t>
      </w:r>
      <w:r>
        <w:t>referred in the adopted standard and has decided that they are acceptable for use in conjunction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standards:</w:t>
      </w:r>
    </w:p>
    <w:p w:rsidR="005928A8" w:rsidRDefault="005928A8" w:rsidP="009621D4">
      <w:pPr>
        <w:pStyle w:val="BodyText"/>
        <w:ind w:left="200" w:right="296"/>
        <w:jc w:val="both"/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5921"/>
      </w:tblGrid>
      <w:tr w:rsidR="005928A8" w:rsidTr="005928A8">
        <w:trPr>
          <w:trHeight w:val="330"/>
        </w:trPr>
        <w:tc>
          <w:tcPr>
            <w:tcW w:w="2606" w:type="dxa"/>
          </w:tcPr>
          <w:p w:rsidR="005928A8" w:rsidRDefault="005928A8" w:rsidP="009621D4">
            <w:pPr>
              <w:pStyle w:val="TableParagraph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International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Standard</w:t>
            </w:r>
          </w:p>
        </w:tc>
        <w:tc>
          <w:tcPr>
            <w:tcW w:w="5921" w:type="dxa"/>
          </w:tcPr>
          <w:p w:rsidR="005928A8" w:rsidRDefault="005928A8" w:rsidP="009621D4">
            <w:pPr>
              <w:pStyle w:val="TableParagraph"/>
              <w:spacing w:line="240" w:lineRule="auto"/>
              <w:ind w:left="1818"/>
              <w:rPr>
                <w:i/>
                <w:sz w:val="24"/>
              </w:rPr>
            </w:pPr>
            <w:r>
              <w:rPr>
                <w:i/>
                <w:sz w:val="24"/>
              </w:rPr>
              <w:t>Title</w:t>
            </w:r>
          </w:p>
        </w:tc>
      </w:tr>
      <w:tr w:rsidR="005928A8" w:rsidTr="005928A8">
        <w:trPr>
          <w:trHeight w:val="373"/>
        </w:trPr>
        <w:tc>
          <w:tcPr>
            <w:tcW w:w="2606" w:type="dxa"/>
          </w:tcPr>
          <w:p w:rsidR="005928A8" w:rsidRDefault="005928A8" w:rsidP="009621D4">
            <w:pPr>
              <w:pStyle w:val="TableParagraph"/>
              <w:spacing w:before="55" w:line="240" w:lineRule="auto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664</w:t>
            </w:r>
          </w:p>
        </w:tc>
        <w:tc>
          <w:tcPr>
            <w:tcW w:w="5921" w:type="dxa"/>
          </w:tcPr>
          <w:p w:rsidR="005928A8" w:rsidRDefault="005928A8" w:rsidP="009621D4">
            <w:pPr>
              <w:pStyle w:val="TableParagraph"/>
              <w:spacing w:before="55" w:line="240" w:lineRule="auto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Oilseeds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Reduction of 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</w:p>
        </w:tc>
      </w:tr>
      <w:tr w:rsidR="005928A8" w:rsidTr="005928A8">
        <w:trPr>
          <w:trHeight w:val="313"/>
        </w:trPr>
        <w:tc>
          <w:tcPr>
            <w:tcW w:w="2606" w:type="dxa"/>
          </w:tcPr>
          <w:p w:rsidR="005928A8" w:rsidRDefault="005928A8" w:rsidP="009621D4">
            <w:pPr>
              <w:pStyle w:val="TableParagraph"/>
              <w:spacing w:before="32" w:line="240" w:lineRule="auto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665</w:t>
            </w:r>
          </w:p>
        </w:tc>
        <w:tc>
          <w:tcPr>
            <w:tcW w:w="5921" w:type="dxa"/>
          </w:tcPr>
          <w:p w:rsidR="005928A8" w:rsidRDefault="005928A8" w:rsidP="009621D4">
            <w:pPr>
              <w:pStyle w:val="TableParagraph"/>
              <w:spacing w:before="32" w:line="240" w:lineRule="auto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Oilseeds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volatile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</w:tr>
      <w:tr w:rsidR="005928A8" w:rsidTr="005928A8">
        <w:trPr>
          <w:trHeight w:val="547"/>
        </w:trPr>
        <w:tc>
          <w:tcPr>
            <w:tcW w:w="2606" w:type="dxa"/>
          </w:tcPr>
          <w:p w:rsidR="005928A8" w:rsidRDefault="005928A8" w:rsidP="009621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771</w:t>
            </w:r>
          </w:p>
        </w:tc>
        <w:tc>
          <w:tcPr>
            <w:tcW w:w="5921" w:type="dxa"/>
          </w:tcPr>
          <w:p w:rsidR="005928A8" w:rsidRDefault="005928A8" w:rsidP="009621D4">
            <w:pPr>
              <w:pStyle w:val="TableParagraph"/>
              <w:spacing w:line="240" w:lineRule="auto"/>
              <w:ind w:left="198"/>
              <w:jc w:val="both"/>
              <w:rPr>
                <w:sz w:val="24"/>
              </w:rPr>
            </w:pPr>
            <w:r>
              <w:rPr>
                <w:sz w:val="24"/>
              </w:rPr>
              <w:t>Oilseed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residues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moisture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 w:rsidR="00736FA7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volatile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 w:rsidR="00736FA7">
              <w:rPr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</w:tr>
    </w:tbl>
    <w:p w:rsidR="005928A8" w:rsidRDefault="005928A8" w:rsidP="009621D4">
      <w:pPr>
        <w:pStyle w:val="BodyText"/>
      </w:pPr>
    </w:p>
    <w:p w:rsidR="005928A8" w:rsidRDefault="005928A8" w:rsidP="009621D4">
      <w:pPr>
        <w:pStyle w:val="BodyText"/>
        <w:ind w:right="297"/>
        <w:jc w:val="both"/>
      </w:pPr>
      <w:r>
        <w:t>In reporting the results of a test or analysis made in accordance with this standard, if the final</w:t>
      </w:r>
      <w:r>
        <w:rPr>
          <w:spacing w:val="1"/>
        </w:rPr>
        <w:t xml:space="preserve"> </w:t>
      </w:r>
      <w:r>
        <w:t>value,</w:t>
      </w:r>
      <w:r>
        <w:rPr>
          <w:spacing w:val="-2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or calculated,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rounded</w:t>
      </w:r>
      <w:r>
        <w:rPr>
          <w:spacing w:val="-1"/>
        </w:rPr>
        <w:t xml:space="preserve"> </w:t>
      </w:r>
      <w:r>
        <w:t>off,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:</w:t>
      </w:r>
      <w:r>
        <w:rPr>
          <w:spacing w:val="3"/>
        </w:rPr>
        <w:t xml:space="preserve"> </w:t>
      </w:r>
      <w:r>
        <w:t xml:space="preserve">2022 </w:t>
      </w:r>
      <w:r>
        <w:rPr>
          <w:spacing w:val="-58"/>
        </w:rPr>
        <w:t xml:space="preserve"> </w:t>
      </w:r>
      <w:r>
        <w:t>‘Rules</w:t>
      </w:r>
      <w:r>
        <w:rPr>
          <w:spacing w:val="-1"/>
        </w:rPr>
        <w:t xml:space="preserve"> </w:t>
      </w:r>
      <w:r>
        <w:t>for rounding</w:t>
      </w:r>
      <w:r>
        <w:rPr>
          <w:spacing w:val="-3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numerical values</w:t>
      </w:r>
      <w:r>
        <w:rPr>
          <w:spacing w:val="2"/>
        </w:rPr>
        <w:t xml:space="preserve"> </w:t>
      </w:r>
      <w:r>
        <w:t>(</w:t>
      </w:r>
      <w:r>
        <w:rPr>
          <w:i/>
        </w:rPr>
        <w:t>second</w:t>
      </w:r>
      <w:r>
        <w:rPr>
          <w:i/>
          <w:spacing w:val="2"/>
        </w:rPr>
        <w:t xml:space="preserve"> </w:t>
      </w:r>
      <w:r>
        <w:rPr>
          <w:i/>
        </w:rPr>
        <w:t>revision</w:t>
      </w:r>
      <w:r>
        <w:t>)’.</w:t>
      </w:r>
    </w:p>
    <w:p w:rsidR="005928A8" w:rsidRDefault="005928A8" w:rsidP="005928A8">
      <w:pPr>
        <w:pStyle w:val="BodyText"/>
      </w:pPr>
    </w:p>
    <w:p w:rsidR="005928A8" w:rsidRDefault="005928A8" w:rsidP="005928A8">
      <w:pPr>
        <w:pStyle w:val="BodyText"/>
        <w:ind w:left="200" w:right="296"/>
        <w:jc w:val="both"/>
      </w:pPr>
    </w:p>
    <w:p w:rsidR="005928A8" w:rsidRDefault="005928A8" w:rsidP="005928A8">
      <w:pPr>
        <w:pStyle w:val="BodyText"/>
        <w:spacing w:before="10"/>
      </w:pPr>
    </w:p>
    <w:p w:rsidR="005928A8" w:rsidRDefault="005928A8" w:rsidP="005928A8">
      <w:pPr>
        <w:pStyle w:val="BodyText"/>
        <w:spacing w:line="276" w:lineRule="auto"/>
        <w:ind w:right="276"/>
        <w:jc w:val="both"/>
      </w:pPr>
    </w:p>
    <w:p w:rsidR="005928A8" w:rsidRDefault="005928A8"/>
    <w:sectPr w:rsidR="0059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73" w:rsidRDefault="00744973">
      <w:r>
        <w:separator/>
      </w:r>
    </w:p>
  </w:endnote>
  <w:endnote w:type="continuationSeparator" w:id="0">
    <w:p w:rsidR="00744973" w:rsidRDefault="007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73" w:rsidRDefault="00744973">
      <w:r>
        <w:separator/>
      </w:r>
    </w:p>
  </w:footnote>
  <w:footnote w:type="continuationSeparator" w:id="0">
    <w:p w:rsidR="00744973" w:rsidRDefault="0074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E6F16"/>
    <w:multiLevelType w:val="hybridMultilevel"/>
    <w:tmpl w:val="C8BC52B4"/>
    <w:lvl w:ilvl="0" w:tplc="25C8DB94">
      <w:start w:val="1"/>
      <w:numFmt w:val="lowerLetter"/>
      <w:lvlText w:val="%1)"/>
      <w:lvlJc w:val="left"/>
      <w:pPr>
        <w:ind w:left="120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63FE937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 w:tplc="AA144504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32565EA0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ar-SA"/>
      </w:rPr>
    </w:lvl>
    <w:lvl w:ilvl="4" w:tplc="AED6EC9A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79AEA408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5C5C928E"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 w:tplc="DB12BDCA"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 w:tplc="8CF4CD0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A4"/>
    <w:rsid w:val="00044897"/>
    <w:rsid w:val="000A71BE"/>
    <w:rsid w:val="000B36F8"/>
    <w:rsid w:val="003E47A4"/>
    <w:rsid w:val="00405DB3"/>
    <w:rsid w:val="00406088"/>
    <w:rsid w:val="004824D7"/>
    <w:rsid w:val="005928A8"/>
    <w:rsid w:val="005F2B3F"/>
    <w:rsid w:val="00691DE2"/>
    <w:rsid w:val="0073151D"/>
    <w:rsid w:val="00736FA7"/>
    <w:rsid w:val="00744973"/>
    <w:rsid w:val="007918FF"/>
    <w:rsid w:val="00852C72"/>
    <w:rsid w:val="00853E81"/>
    <w:rsid w:val="009621D4"/>
    <w:rsid w:val="009C1FA6"/>
    <w:rsid w:val="009F32D6"/>
    <w:rsid w:val="00AD0161"/>
    <w:rsid w:val="00B80191"/>
    <w:rsid w:val="00CE13F3"/>
    <w:rsid w:val="00D54D64"/>
    <w:rsid w:val="00F04C1D"/>
    <w:rsid w:val="00F7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C071C"/>
  <w15:chartTrackingRefBased/>
  <w15:docId w15:val="{DF2E6878-0459-45CC-A789-111DCBE2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47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47A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47A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1"/>
    <w:qFormat/>
    <w:rsid w:val="005928A8"/>
    <w:pPr>
      <w:ind w:left="1203" w:right="298" w:hanging="360"/>
    </w:pPr>
  </w:style>
  <w:style w:type="paragraph" w:customStyle="1" w:styleId="TableParagraph">
    <w:name w:val="Table Paragraph"/>
    <w:basedOn w:val="Normal"/>
    <w:uiPriority w:val="1"/>
    <w:qFormat/>
    <w:rsid w:val="005928A8"/>
    <w:pPr>
      <w:spacing w:line="271" w:lineRule="exact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C72"/>
    <w:rPr>
      <w:rFonts w:ascii="Segoe UI" w:eastAsia="Times New Roman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583</Words>
  <Characters>3326</Characters>
  <Application>Microsoft Office Word</Application>
  <DocSecurity>0</DocSecurity>
  <Lines>27</Lines>
  <Paragraphs>7</Paragraphs>
  <ScaleCrop>false</ScaleCrop>
  <Company>HP Inc.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2024-09-20T05:10:00Z</cp:lastPrinted>
  <dcterms:created xsi:type="dcterms:W3CDTF">2024-09-17T10:33:00Z</dcterms:created>
  <dcterms:modified xsi:type="dcterms:W3CDTF">2024-09-20T05:43:00Z</dcterms:modified>
</cp:coreProperties>
</file>