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 w:right="-486" w:firstLine="0"/>
        <w:jc w:val="right"/>
        <w:rPr>
          <w:rFonts w:ascii="Arial" w:cs="Arial" w:eastAsia="Arial" w:hAnsi="Arial"/>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IS/IEC TS 62600-20: 2019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2381250</wp:posOffset>
                </wp:positionH>
                <wp:positionV relativeFrom="paragraph">
                  <wp:posOffset>-333373</wp:posOffset>
                </wp:positionV>
                <wp:extent cx="1666875" cy="590550"/>
                <wp:effectExtent b="19050" l="0" r="28575" t="0"/>
                <wp:wrapNone/>
                <wp:docPr id="2" name=""/>
                <a:graphic>
                  <a:graphicData uri="http://schemas.microsoft.com/office/word/2010/wordprocessingShape">
                    <wps:wsp>
                      <wps:cNvSpPr>
                        <a:spLocks/>
                      </wps:cNvSpPr>
                      <wps:spPr>
                        <a:xfrm>
                          <a:off x="0" y="0"/>
                          <a:ext cx="1666875" cy="5905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969BA" w:rsidDel="00000000" w:rsidP="00C969BA" w:rsidRDefault="00C969BA" w:rsidRPr="00E73D3B" w14:paraId="6C492918" w14:textId="77777777">
                            <w:pPr>
                              <w:rPr>
                                <w:rFonts w:ascii="Kokila" w:cs="Kokila" w:hAnsi="Kokila"/>
                                <w:b w:val="1"/>
                                <w:bCs w:val="1"/>
                                <w:i w:val="1"/>
                                <w:iCs w:val="1"/>
                                <w:sz w:val="44"/>
                                <w:szCs w:val="44"/>
                              </w:rPr>
                            </w:pPr>
                            <w:r w:rsidDel="00000000" w:rsidR="00000000" w:rsidRPr="00FD4B32">
                              <w:rPr>
                                <w:rFonts w:ascii="Kokila" w:cs="Kokila" w:hAnsi="Kokila"/>
                                <w:b w:val="1"/>
                                <w:bCs w:val="1"/>
                                <w:i w:val="1"/>
                                <w:iCs w:val="1"/>
                                <w:sz w:val="44"/>
                                <w:szCs w:val="44"/>
                                <w:cs w:val="1"/>
                                <w:lang w:bidi="hi-IN"/>
                              </w:rPr>
                              <w:t xml:space="preserve">भारतीय मानक </w:t>
                            </w:r>
                            <w:r w:rsidDel="00000000" w:rsidR="00000000" w:rsidRPr="00FD4B32">
                              <w:rPr>
                                <w:rFonts w:ascii="Arial" w:cs="Arial" w:hAnsi="Arial"/>
                                <w:b w:val="1"/>
                                <w:bCs w:val="1"/>
                                <w:i w:val="1"/>
                                <w:iCs w:val="1"/>
                                <w:sz w:val="28"/>
                                <w:szCs w:val="28"/>
                              </w:rPr>
                              <w:t>Indian Standards</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2381250</wp:posOffset>
                </wp:positionH>
                <wp:positionV relativeFrom="paragraph">
                  <wp:posOffset>-333373</wp:posOffset>
                </wp:positionV>
                <wp:extent cx="1695450" cy="609600"/>
                <wp:effectExtent b="0" l="0" r="0" t="0"/>
                <wp:wrapNone/>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695450" cy="609600"/>
                        </a:xfrm>
                        <a:prstGeom prst="rect"/>
                        <a:ln/>
                      </pic:spPr>
                    </pic:pic>
                  </a:graphicData>
                </a:graphic>
              </wp:anchor>
            </w:drawing>
          </mc:Fallback>
        </mc:AlternateContent>
      </w:r>
    </w:p>
    <w:p w:rsidR="00000000" w:rsidDel="00000000" w:rsidP="00000000" w:rsidRDefault="00000000" w:rsidRPr="00000000" w14:paraId="00000002">
      <w:pPr>
        <w:ind w:left="3780" w:firstLine="0"/>
        <w:jc w:val="center"/>
        <w:rPr>
          <w:rFonts w:ascii="Arial" w:cs="Arial" w:eastAsia="Arial" w:hAnsi="Arial"/>
          <w:b w:val="1"/>
          <w:sz w:val="36"/>
          <w:szCs w:val="36"/>
        </w:rPr>
      </w:pPr>
      <w:r w:rsidDel="00000000" w:rsidR="00000000" w:rsidRPr="00000000">
        <w:rPr>
          <w:rFonts w:ascii="Arial" w:cs="Arial" w:eastAsia="Arial" w:hAnsi="Arial"/>
        </w:rPr>
        <mc:AlternateContent>
          <mc:Choice Requires="wps">
            <w:drawing>
              <wp:inline distB="0" distT="0" distL="0" distR="0">
                <wp:extent cx="4101465" cy="54610"/>
                <wp:effectExtent b="4445" l="9525" r="13335" t="7620"/>
                <wp:docPr id="1" name=""/>
                <a:graphic>
                  <a:graphicData uri="http://schemas.microsoft.com/office/word/2010/wordprocessingGroup">
                    <wpg:wgp>
                      <wpg:cNvGrpSpPr>
                        <a:grpSpLocks/>
                      </wpg:cNvGrpSpPr>
                      <wpg:grpSpPr bwMode="auto">
                        <a:xfrm flipV="1">
                          <a:off x="0" y="0"/>
                          <a:ext cx="4101465" cy="54610"/>
                          <a:chOff x="0" y="0"/>
                          <a:chExt cx="6347" cy="100"/>
                        </a:xfrm>
                      </wpg:grpSpPr>
                      <wps:wsp>
                        <wps:cNvCnPr>
                          <a:cxnSpLocks noChangeShapeType="1"/>
                        </wps:cNvCnPr>
                        <wps:cNvPr id="8" name="Line 9"/>
                        <wps:spPr bwMode="auto">
                          <a:xfrm>
                            <a:off x="0" y="10"/>
                            <a:ext cx="6346" cy="0"/>
                          </a:xfrm>
                          <a:prstGeom prst="line">
                            <a:avLst/>
                          </a:prstGeom>
                          <a:noFill/>
                          <a:ln w="12700">
                            <a:solidFill>
                              <a:srgbClr val="231F20"/>
                            </a:solidFill>
                            <a:round/>
                            <a:headEnd/>
                            <a:tailEnd/>
                          </a:ln>
                          <a:extLst>
                            <a:ext uri="{909E8E84-426E-40DD-AFC4-6F175D3DCCD1}"/>
                          </a:extLst>
                        </wps:spPr>
                        <wps:bodyPr/>
                      </wps:wsp>
                      <wps:wsp>
                        <wps:cNvCnPr>
                          <a:cxnSpLocks noChangeShapeType="1"/>
                        </wps:cNvCnPr>
                        <wps:cNvPr id="9" name="Line 10"/>
                        <wps:spPr bwMode="auto">
                          <a:xfrm>
                            <a:off x="0" y="50"/>
                            <a:ext cx="6346" cy="0"/>
                          </a:xfrm>
                          <a:prstGeom prst="line">
                            <a:avLst/>
                          </a:prstGeom>
                          <a:noFill/>
                          <a:ln w="12700">
                            <a:solidFill>
                              <a:srgbClr val="231F20"/>
                            </a:solidFill>
                            <a:round/>
                            <a:headEnd/>
                            <a:tailEnd/>
                          </a:ln>
                          <a:extLst>
                            <a:ext uri="{909E8E84-426E-40DD-AFC4-6F175D3DCCD1}"/>
                          </a:extLst>
                        </wps:spPr>
                        <wps:bodyPr/>
                      </wps:wsp>
                      <wps:wsp>
                        <wps:cNvCnPr>
                          <a:cxnSpLocks noChangeShapeType="1"/>
                        </wps:cNvCnPr>
                        <wps:cNvPr id="10" name="Line 11"/>
                        <wps:spPr bwMode="auto">
                          <a:xfrm>
                            <a:off x="0" y="90"/>
                            <a:ext cx="6346" cy="0"/>
                          </a:xfrm>
                          <a:prstGeom prst="line">
                            <a:avLst/>
                          </a:prstGeom>
                          <a:noFill/>
                          <a:ln w="12700">
                            <a:solidFill>
                              <a:srgbClr val="231F20"/>
                            </a:solidFill>
                            <a:round/>
                            <a:headEnd/>
                            <a:tailEnd/>
                          </a:ln>
                          <a:extLst>
                            <a:ext uri="{909E8E84-426E-40DD-AFC4-6F175D3DCCD1}"/>
                          </a:extLst>
                        </wps:spPr>
                        <wps:bodyPr/>
                      </wps:wsp>
                    </wpg:wgp>
                  </a:graphicData>
                </a:graphic>
              </wp:inline>
            </w:drawing>
          </mc:Choice>
          <mc:Fallback>
            <w:drawing>
              <wp:inline distB="0" distT="0" distL="0" distR="0">
                <wp:extent cx="4124325" cy="66675"/>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124325" cy="66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 w:right="0" w:firstLine="0"/>
        <w:jc w:val="center"/>
        <w:rPr>
          <w:rFonts w:ascii="Kokila" w:cs="Kokila" w:eastAsia="Kokila" w:hAnsi="Kokil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2" w:right="-628" w:firstLine="0"/>
        <w:jc w:val="center"/>
        <w:rPr>
          <w:rFonts w:ascii="Kokila" w:cs="Kokila" w:eastAsia="Kokila" w:hAnsi="Kokila"/>
          <w:b w:val="1"/>
          <w:i w:val="0"/>
          <w:smallCaps w:val="0"/>
          <w:strike w:val="0"/>
          <w:color w:val="000000"/>
          <w:sz w:val="52"/>
          <w:szCs w:val="52"/>
          <w:u w:val="none"/>
          <w:shd w:fill="auto" w:val="clear"/>
          <w:vertAlign w:val="baseline"/>
        </w:rPr>
      </w:pPr>
      <w:r w:rsidDel="00000000" w:rsidR="00000000" w:rsidRPr="00000000">
        <w:rPr>
          <w:rFonts w:ascii="Kokila" w:cs="Kokila" w:eastAsia="Kokila" w:hAnsi="Kokila"/>
          <w:b w:val="1"/>
          <w:i w:val="0"/>
          <w:smallCaps w:val="0"/>
          <w:strike w:val="0"/>
          <w:color w:val="000000"/>
          <w:sz w:val="52"/>
          <w:szCs w:val="52"/>
          <w:u w:val="none"/>
          <w:shd w:fill="auto" w:val="clear"/>
          <w:vertAlign w:val="baseline"/>
          <w:rtl w:val="0"/>
        </w:rPr>
        <w:t xml:space="preserve">समुद्री ऊर्जा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2" w:right="-628" w:firstLine="0"/>
        <w:jc w:val="center"/>
        <w:rPr>
          <w:rFonts w:ascii="Kokila" w:cs="Kokila" w:eastAsia="Kokila" w:hAnsi="Kokila"/>
          <w:b w:val="1"/>
          <w:i w:val="0"/>
          <w:smallCaps w:val="0"/>
          <w:strike w:val="0"/>
          <w:color w:val="000000"/>
          <w:sz w:val="52"/>
          <w:szCs w:val="52"/>
          <w:u w:val="none"/>
          <w:shd w:fill="auto" w:val="clear"/>
          <w:vertAlign w:val="baseline"/>
        </w:rPr>
      </w:pPr>
      <w:r w:rsidDel="00000000" w:rsidR="00000000" w:rsidRPr="00000000">
        <w:rPr>
          <w:rFonts w:ascii="Kokila" w:cs="Kokila" w:eastAsia="Kokila" w:hAnsi="Kokila"/>
          <w:b w:val="1"/>
          <w:i w:val="0"/>
          <w:smallCaps w:val="0"/>
          <w:strike w:val="0"/>
          <w:color w:val="000000"/>
          <w:sz w:val="52"/>
          <w:szCs w:val="52"/>
          <w:u w:val="none"/>
          <w:shd w:fill="auto" w:val="clear"/>
          <w:vertAlign w:val="baseline"/>
          <w:rtl w:val="0"/>
        </w:rPr>
        <w:t xml:space="preserve">तरंग, ज्वार और अन्य जल धारा परिवर्तक</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2" w:right="-628" w:firstLine="0"/>
        <w:jc w:val="center"/>
        <w:rPr>
          <w:rFonts w:ascii="Kokila" w:cs="Kokila" w:eastAsia="Kokila" w:hAnsi="Kokila"/>
          <w:b w:val="1"/>
          <w:i w:val="0"/>
          <w:smallCaps w:val="0"/>
          <w:strike w:val="0"/>
          <w:color w:val="000000"/>
          <w:sz w:val="44"/>
          <w:szCs w:val="44"/>
          <w:u w:val="none"/>
          <w:shd w:fill="auto" w:val="clear"/>
          <w:vertAlign w:val="baseline"/>
        </w:rPr>
      </w:pPr>
      <w:r w:rsidDel="00000000" w:rsidR="00000000" w:rsidRPr="00000000">
        <w:rPr>
          <w:rFonts w:ascii="Kokila" w:cs="Kokila" w:eastAsia="Kokila" w:hAnsi="Kokila"/>
          <w:b w:val="1"/>
          <w:i w:val="0"/>
          <w:smallCaps w:val="0"/>
          <w:strike w:val="0"/>
          <w:color w:val="000000"/>
          <w:sz w:val="44"/>
          <w:szCs w:val="44"/>
          <w:u w:val="none"/>
          <w:shd w:fill="auto" w:val="clear"/>
          <w:vertAlign w:val="baseline"/>
          <w:rtl w:val="0"/>
        </w:rPr>
        <w:t xml:space="preserve">भाग 20 महासागर तापीय ऊर्जा रूपांतरण (ओटीईसी) संयंत्र का डिजाइन और विश्लेषण - सामान्य मार्गदर्शन</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2" w:right="-628"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82" w:right="-628"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Marine Energy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82" w:right="-628"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Wave, Tidal and Other Water Current Converters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2" w:right="-628"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Part 20 Design and Analysis of an Ocean Thermal Energy Conversion OTEC plant General Guidance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0" w:right="-77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0" w:right="-7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ICS 27.140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0" w:right="-7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0" w:right="-7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0" w:right="-7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0" w:right="-7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0" w:right="-7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0" w:right="-7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BIS 2024</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0" w:right="-77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IEC 2020</w:t>
      </w:r>
    </w:p>
    <w:p w:rsidR="00000000" w:rsidDel="00000000" w:rsidP="00000000" w:rsidRDefault="00000000" w:rsidRPr="00000000" w14:paraId="00000015">
      <w:pPr>
        <w:ind w:left="3870" w:right="-770" w:firstLine="0"/>
        <w:jc w:val="cente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6">
      <w:pPr>
        <w:spacing w:after="120" w:lineRule="auto"/>
        <w:ind w:left="3870" w:right="-770" w:firstLine="0"/>
        <w:jc w:val="center"/>
        <w:rPr>
          <w:rFonts w:ascii="Arial" w:cs="Arial" w:eastAsia="Arial" w:hAnsi="Arial"/>
        </w:rPr>
      </w:pPr>
      <w:r w:rsidDel="00000000" w:rsidR="00000000" w:rsidRPr="00000000">
        <w:rPr>
          <w:rFonts w:ascii="Arial" w:cs="Arial" w:eastAsia="Arial" w:hAnsi="Arial"/>
        </w:rPr>
        <w:drawing>
          <wp:inline distB="0" distT="0" distL="0" distR="0">
            <wp:extent cx="419100" cy="41910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1910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ind w:left="3870" w:firstLine="0"/>
        <w:jc w:val="center"/>
        <w:rPr/>
      </w:pPr>
      <w:r w:rsidDel="00000000" w:rsidR="00000000" w:rsidRPr="00000000">
        <w:rPr>
          <w:rtl w:val="0"/>
        </w:rPr>
      </w:r>
    </w:p>
    <w:p w:rsidR="00000000" w:rsidDel="00000000" w:rsidP="00000000" w:rsidRDefault="00000000" w:rsidRPr="00000000" w14:paraId="00000018">
      <w:pPr>
        <w:ind w:left="3870" w:firstLine="0"/>
        <w:jc w:val="center"/>
        <w:rPr>
          <w:rFonts w:ascii="Arial" w:cs="Arial" w:eastAsia="Arial" w:hAnsi="Arial"/>
        </w:rPr>
      </w:pPr>
      <w:r w:rsidDel="00000000" w:rsidR="00000000" w:rsidRPr="00000000">
        <w:rPr/>
        <mc:AlternateContent>
          <mc:Choice Requires="wps">
            <w:drawing>
              <wp:inline distB="0" distT="0" distL="0" distR="0">
                <wp:extent cx="4138930" cy="53975"/>
                <wp:effectExtent b="3175" l="9525" r="13970" t="9525"/>
                <wp:docPr id="3" name=""/>
                <a:graphic>
                  <a:graphicData uri="http://schemas.microsoft.com/office/word/2010/wordprocessingGroup">
                    <wpg:wgp>
                      <wpg:cNvGrpSpPr>
                        <a:grpSpLocks/>
                      </wpg:cNvGrpSpPr>
                      <wpg:grpSpPr bwMode="auto">
                        <a:xfrm flipV="1">
                          <a:off x="0" y="0"/>
                          <a:ext cx="4138930" cy="53975"/>
                          <a:chOff x="0" y="0"/>
                          <a:chExt cx="6347" cy="100"/>
                        </a:xfrm>
                      </wpg:grpSpPr>
                      <wps:wsp>
                        <wps:cNvCnPr>
                          <a:cxnSpLocks noChangeShapeType="1"/>
                        </wps:cNvCnPr>
                        <wps:cNvPr id="4" name="Line 9"/>
                        <wps:spPr bwMode="auto">
                          <a:xfrm>
                            <a:off x="0" y="10"/>
                            <a:ext cx="6346" cy="0"/>
                          </a:xfrm>
                          <a:prstGeom prst="line">
                            <a:avLst/>
                          </a:prstGeom>
                          <a:noFill/>
                          <a:ln w="12700">
                            <a:solidFill>
                              <a:srgbClr val="231F20"/>
                            </a:solidFill>
                            <a:round/>
                            <a:headEnd/>
                            <a:tailEnd/>
                          </a:ln>
                          <a:extLst>
                            <a:ext uri="{909E8E84-426E-40DD-AFC4-6F175D3DCCD1}"/>
                          </a:extLst>
                        </wps:spPr>
                        <wps:bodyPr/>
                      </wps:wsp>
                      <wps:wsp>
                        <wps:cNvCnPr>
                          <a:cxnSpLocks noChangeShapeType="1"/>
                        </wps:cNvCnPr>
                        <wps:cNvPr id="5" name="Line 10"/>
                        <wps:spPr bwMode="auto">
                          <a:xfrm>
                            <a:off x="0" y="50"/>
                            <a:ext cx="6346" cy="0"/>
                          </a:xfrm>
                          <a:prstGeom prst="line">
                            <a:avLst/>
                          </a:prstGeom>
                          <a:noFill/>
                          <a:ln w="12700">
                            <a:solidFill>
                              <a:srgbClr val="231F20"/>
                            </a:solidFill>
                            <a:round/>
                            <a:headEnd/>
                            <a:tailEnd/>
                          </a:ln>
                          <a:extLst>
                            <a:ext uri="{909E8E84-426E-40DD-AFC4-6F175D3DCCD1}"/>
                          </a:extLst>
                        </wps:spPr>
                        <wps:bodyPr/>
                      </wps:wsp>
                      <wps:wsp>
                        <wps:cNvCnPr>
                          <a:cxnSpLocks noChangeShapeType="1"/>
                        </wps:cNvCnPr>
                        <wps:cNvPr id="6" name="Line 11"/>
                        <wps:spPr bwMode="auto">
                          <a:xfrm>
                            <a:off x="0" y="90"/>
                            <a:ext cx="6346" cy="0"/>
                          </a:xfrm>
                          <a:prstGeom prst="line">
                            <a:avLst/>
                          </a:prstGeom>
                          <a:noFill/>
                          <a:ln w="12700">
                            <a:solidFill>
                              <a:srgbClr val="231F20"/>
                            </a:solidFill>
                            <a:round/>
                            <a:headEnd/>
                            <a:tailEnd/>
                          </a:ln>
                          <a:extLst>
                            <a:ext uri="{909E8E84-426E-40DD-AFC4-6F175D3DCCD1}"/>
                          </a:extLst>
                        </wps:spPr>
                        <wps:bodyPr/>
                      </wps:wsp>
                    </wpg:wgp>
                  </a:graphicData>
                </a:graphic>
              </wp:inline>
            </w:drawing>
          </mc:Choice>
          <mc:Fallback>
            <w:drawing>
              <wp:inline distB="0" distT="0" distL="0" distR="0">
                <wp:extent cx="4162425" cy="66675"/>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162425" cy="66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 w:right="0" w:firstLine="900"/>
        <w:jc w:val="center"/>
        <w:rPr>
          <w:rFonts w:ascii="Kokila" w:cs="Kokila" w:eastAsia="Kokila" w:hAnsi="Kokila"/>
          <w:b w:val="0"/>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 w:right="-770" w:firstLine="900"/>
        <w:jc w:val="center"/>
        <w:rPr>
          <w:rFonts w:ascii="Kokila" w:cs="Kokila" w:eastAsia="Kokila" w:hAnsi="Kokila"/>
          <w:b w:val="1"/>
          <w:i w:val="0"/>
          <w:smallCaps w:val="1"/>
          <w:strike w:val="0"/>
          <w:color w:val="000000"/>
          <w:sz w:val="28"/>
          <w:szCs w:val="28"/>
          <w:u w:val="none"/>
          <w:shd w:fill="auto" w:val="clear"/>
          <w:vertAlign w:val="baseline"/>
        </w:rPr>
      </w:pPr>
      <w:r w:rsidDel="00000000" w:rsidR="00000000" w:rsidRPr="00000000">
        <w:rPr>
          <w:rFonts w:ascii="Kokila" w:cs="Kokila" w:eastAsia="Kokila" w:hAnsi="Kokila"/>
          <w:b w:val="0"/>
          <w:i w:val="0"/>
          <w:smallCaps w:val="1"/>
          <w:strike w:val="0"/>
          <w:color w:val="000000"/>
          <w:sz w:val="28"/>
          <w:szCs w:val="28"/>
          <w:u w:val="none"/>
          <w:shd w:fill="auto" w:val="clear"/>
          <w:vertAlign w:val="baseline"/>
          <w:rtl w:val="0"/>
        </w:rPr>
        <w:t xml:space="preserve">भारतीय मानक ब्यूरो</w:t>
      </w:r>
      <w:r w:rsidDel="00000000" w:rsidR="00000000" w:rsidRPr="00000000">
        <w:rPr>
          <w:rtl w:val="0"/>
        </w:rPr>
      </w:r>
      <w:r w:rsidDel="00000000" w:rsidR="00000000" w:rsidRPr="00000000">
        <w:pict>
          <v:shape id="_x0000_s1026" style="position:absolute;left:0;text-align:left;margin-left:193.25pt;margin-top:12.85pt;width:59.7pt;height:59.7pt;z-index:251658240;mso-position-horizontal:absolute;mso-position-vertical:absolute;mso-position-horizontal-relative:margin;mso-position-vertical-relative:text;" o:allowincell="f" type="#_x0000_t75">
            <v:imagedata r:id="rId1" o:title=""/>
          </v:shape>
          <o:OLEObject DrawAspect="Content" r:id="rId2" ObjectID="_1777474379" ProgID="MSPhotoEd.3" ShapeID="_x0000_s1026" Type="Embed"/>
        </w:pic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 w:right="-770" w:firstLine="900"/>
        <w:jc w:val="center"/>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BUREAU OF INDIAN STANDARDS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 w:right="-770" w:firstLine="900"/>
        <w:jc w:val="center"/>
        <w:rPr>
          <w:rFonts w:ascii="Kokila" w:cs="Kokila" w:eastAsia="Kokila" w:hAnsi="Kokila"/>
          <w:b w:val="1"/>
          <w:i w:val="0"/>
          <w:smallCaps w:val="0"/>
          <w:strike w:val="0"/>
          <w:color w:val="231f20"/>
          <w:sz w:val="24"/>
          <w:szCs w:val="24"/>
          <w:u w:val="none"/>
          <w:shd w:fill="auto" w:val="clear"/>
          <w:vertAlign w:val="baseline"/>
        </w:rPr>
      </w:pPr>
      <w:r w:rsidDel="00000000" w:rsidR="00000000" w:rsidRPr="00000000">
        <w:rPr>
          <w:rFonts w:ascii="Kokila" w:cs="Kokila" w:eastAsia="Kokila" w:hAnsi="Kokila"/>
          <w:b w:val="0"/>
          <w:i w:val="0"/>
          <w:smallCaps w:val="1"/>
          <w:strike w:val="0"/>
          <w:color w:val="000000"/>
          <w:sz w:val="24"/>
          <w:szCs w:val="24"/>
          <w:u w:val="none"/>
          <w:shd w:fill="auto" w:val="clear"/>
          <w:vertAlign w:val="baseline"/>
          <w:rtl w:val="0"/>
        </w:rPr>
        <w:t xml:space="preserve">मानक भवन, 9 बहादुर शाह ज़फर मार्ग, नई दिल्ली - 110002</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 w:right="-770" w:firstLine="900"/>
        <w:jc w:val="center"/>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MANAK BHAVAN, 9 BAHADUR SHAH ZAFAR MARG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 w:right="-770" w:firstLine="900"/>
        <w:jc w:val="center"/>
        <w:rPr>
          <w:rFonts w:ascii="Arial" w:cs="Arial" w:eastAsia="Arial" w:hAnsi="Arial"/>
          <w:b w:val="0"/>
          <w:i w:val="0"/>
          <w:smallCaps w:val="0"/>
          <w:strike w:val="0"/>
          <w:color w:val="231f2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NEW DELHI - 110002</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 w:right="-770" w:firstLine="900"/>
        <w:jc w:val="center"/>
        <w:rPr>
          <w:rFonts w:ascii="Arial" w:cs="Arial" w:eastAsia="Arial" w:hAnsi="Arial"/>
          <w:b w:val="0"/>
          <w:i w:val="0"/>
          <w:smallCaps w:val="0"/>
          <w:strike w:val="0"/>
          <w:color w:val="000000"/>
          <w:sz w:val="20"/>
          <w:szCs w:val="20"/>
          <w:u w:val="none"/>
          <w:shd w:fill="auto" w:val="clear"/>
          <w:vertAlign w:val="baseline"/>
        </w:rPr>
      </w:pP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www.bis.gov.in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www.standardsbis.in</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8" w:right="-77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8" w:right="-77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May 2024                                       </w:t>
        <w:tab/>
        <w:tab/>
        <w:t xml:space="preserve">  Price Group</w:t>
      </w:r>
    </w:p>
    <w:p w:rsidR="00000000" w:rsidDel="00000000" w:rsidP="00000000" w:rsidRDefault="00000000" w:rsidRPr="00000000" w14:paraId="00000022">
      <w:pPr>
        <w:spacing w:after="160" w:line="259" w:lineRule="auto"/>
        <w:rPr/>
      </w:pPr>
      <w:r w:rsidDel="00000000" w:rsidR="00000000" w:rsidRPr="00000000">
        <w:br w:type="page"/>
      </w:r>
      <w:r w:rsidDel="00000000" w:rsidR="00000000" w:rsidRPr="00000000">
        <w:rPr>
          <w:rtl w:val="0"/>
        </w:rPr>
        <w:t xml:space="preserve">Marine Energy Conversion Systems Sectional Committee, ETD54</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NATIONAL FOREWORD</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sz w:val="16"/>
          <w:szCs w:val="16"/>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This Standard (Part 20) which is identical with IEC 62600-20-2019 ‘Marine Energy – wave tidal and other water current converters Part 20: Design and Analysis of an Ocean Thermal Energy Conversion (OTEC) plant – General Guidance’ issued by the International Electrotechnical Commission (IEC) was adopted by the Bureau of Indian Standards on the recommendation of the Marine Energy Conversion Systems Sectional Committee and approval of the Electrotechnical Division Council.</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The text of the IEC Standard has been approved as suitable for publication as an Indian Standard without deviations. Certain conventions are, however, not identical to those used in Indian Standards.  Attention is particularly drawn to the following:</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numPr>
          <w:ilvl w:val="0"/>
          <w:numId w:val="1"/>
        </w:numPr>
        <w:ind w:left="1080" w:hanging="360"/>
        <w:jc w:val="both"/>
        <w:rPr/>
      </w:pPr>
      <w:r w:rsidDel="00000000" w:rsidR="00000000" w:rsidRPr="00000000">
        <w:rPr>
          <w:rtl w:val="0"/>
        </w:rPr>
        <w:t xml:space="preserve">Wherever the words ‘International Standard’ appears referring to this standard, they should be read as ‘Indian Standard’.</w:t>
      </w:r>
    </w:p>
    <w:tbl>
      <w:tblPr>
        <w:tblStyle w:val="Table1"/>
        <w:tblpPr w:leftFromText="180" w:rightFromText="180" w:topFromText="0" w:bottomFromText="0" w:vertAnchor="text" w:horzAnchor="text" w:tblpX="0" w:tblpY="1009"/>
        <w:tblW w:w="99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3"/>
        <w:gridCol w:w="3937"/>
        <w:gridCol w:w="2430"/>
        <w:tblGridChange w:id="0">
          <w:tblGrid>
            <w:gridCol w:w="3533"/>
            <w:gridCol w:w="3937"/>
            <w:gridCol w:w="2430"/>
          </w:tblGrid>
        </w:tblGridChange>
      </w:tblGrid>
      <w:tr>
        <w:trPr>
          <w:cantSplit w:val="0"/>
          <w:trHeight w:val="693" w:hRule="atLeast"/>
          <w:tblHeader w:val="0"/>
        </w:trPr>
        <w:tc>
          <w:tcPr/>
          <w:p w:rsidR="00000000" w:rsidDel="00000000" w:rsidP="00000000" w:rsidRDefault="00000000" w:rsidRPr="00000000" w14:paraId="0000002E">
            <w:pPr>
              <w:keepNext w:val="1"/>
              <w:rPr>
                <w:i w:val="1"/>
              </w:rPr>
            </w:pPr>
            <w:r w:rsidDel="00000000" w:rsidR="00000000" w:rsidRPr="00000000">
              <w:rPr>
                <w:i w:val="1"/>
                <w:rtl w:val="0"/>
              </w:rPr>
              <w:t xml:space="preserve">International Standard</w:t>
            </w:r>
          </w:p>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jc w:val="both"/>
              <w:rPr>
                <w:i w:val="1"/>
              </w:rPr>
            </w:pPr>
            <w:r w:rsidDel="00000000" w:rsidR="00000000" w:rsidRPr="00000000">
              <w:rPr>
                <w:i w:val="1"/>
                <w:rtl w:val="0"/>
              </w:rPr>
              <w:t xml:space="preserve">Corresponding Indian Standard</w:t>
            </w:r>
          </w:p>
          <w:p w:rsidR="00000000" w:rsidDel="00000000" w:rsidP="00000000" w:rsidRDefault="00000000" w:rsidRPr="00000000" w14:paraId="00000031">
            <w:pPr>
              <w:jc w:val="both"/>
              <w:rPr>
                <w:i w:val="1"/>
              </w:rPr>
            </w:pPr>
            <w:r w:rsidDel="00000000" w:rsidR="00000000" w:rsidRPr="00000000">
              <w:rPr>
                <w:rtl w:val="0"/>
              </w:rPr>
            </w:r>
          </w:p>
        </w:tc>
        <w:tc>
          <w:tcPr/>
          <w:p w:rsidR="00000000" w:rsidDel="00000000" w:rsidP="00000000" w:rsidRDefault="00000000" w:rsidRPr="00000000" w14:paraId="00000032">
            <w:pPr>
              <w:jc w:val="both"/>
              <w:rPr>
                <w:i w:val="1"/>
              </w:rPr>
            </w:pPr>
            <w:r w:rsidDel="00000000" w:rsidR="00000000" w:rsidRPr="00000000">
              <w:rPr>
                <w:i w:val="1"/>
                <w:rtl w:val="0"/>
              </w:rPr>
              <w:t xml:space="preserve">Degree of Equivalence</w:t>
            </w:r>
          </w:p>
        </w:tc>
      </w:tr>
      <w:tr>
        <w:trPr>
          <w:cantSplit w:val="0"/>
          <w:trHeight w:val="693" w:hRule="atLeast"/>
          <w:tblHeader w:val="0"/>
        </w:trPr>
        <w:tc>
          <w:tcPr/>
          <w:p w:rsidR="00000000" w:rsidDel="00000000" w:rsidP="00000000" w:rsidRDefault="00000000" w:rsidRPr="00000000" w14:paraId="00000033">
            <w:pPr>
              <w:keepNext w:val="1"/>
              <w:jc w:val="both"/>
              <w:rPr/>
            </w:pPr>
            <w:r w:rsidDel="00000000" w:rsidR="00000000" w:rsidRPr="00000000">
              <w:rPr>
                <w:rtl w:val="0"/>
              </w:rPr>
              <w:t xml:space="preserve">IEC 60079-0:2017, Explosive atmospheres – Part 0: Equipment – General requirements</w:t>
            </w:r>
          </w:p>
        </w:tc>
        <w:tc>
          <w:tcPr/>
          <w:p w:rsidR="00000000" w:rsidDel="00000000" w:rsidP="00000000" w:rsidRDefault="00000000" w:rsidRPr="00000000" w14:paraId="00000034">
            <w:pPr>
              <w:jc w:val="both"/>
              <w:rPr/>
            </w:pPr>
            <w:r w:rsidDel="00000000" w:rsidR="00000000" w:rsidRPr="00000000">
              <w:rPr>
                <w:rtl w:val="0"/>
              </w:rPr>
              <w:t xml:space="preserve">IS/IEC 60079-0:2017, Explosive Atmospheres Part 0 Equipment — General Requirements ( Third Revision )</w:t>
            </w:r>
          </w:p>
        </w:tc>
        <w:tc>
          <w:tcPr/>
          <w:p w:rsidR="00000000" w:rsidDel="00000000" w:rsidP="00000000" w:rsidRDefault="00000000" w:rsidRPr="00000000" w14:paraId="00000035">
            <w:pPr>
              <w:jc w:val="center"/>
              <w:rPr/>
            </w:pPr>
            <w:r w:rsidDel="00000000" w:rsidR="00000000" w:rsidRPr="00000000">
              <w:rPr>
                <w:rtl w:val="0"/>
              </w:rPr>
              <w:t xml:space="preserve">Identical </w:t>
            </w:r>
          </w:p>
        </w:tc>
      </w:tr>
    </w:tbl>
    <w:p w:rsidR="00000000" w:rsidDel="00000000" w:rsidP="00000000" w:rsidRDefault="00000000" w:rsidRPr="00000000" w14:paraId="00000036">
      <w:pPr>
        <w:numPr>
          <w:ilvl w:val="0"/>
          <w:numId w:val="2"/>
        </w:numPr>
        <w:ind w:left="1080" w:hanging="360"/>
        <w:jc w:val="both"/>
        <w:rPr/>
      </w:pPr>
      <w:r w:rsidDel="00000000" w:rsidR="00000000" w:rsidRPr="00000000">
        <w:rPr>
          <w:rtl w:val="0"/>
        </w:rPr>
        <w:t xml:space="preserve"> Comma (,) has been used as a decimal marker, while in Indian Standards the current practice is to use a point (.) as the decimal marker.</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In this adopted standard, reference appears to International Standards for which Indian Standards also exists.  The corresponding Indian Standards, which are to be substituted, are listed below along with their degree of equivalence for the editions indicated: </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The technical committee has reviewed the provisions of the following international standards referred in this adopted standard and decided that they are acceptable for use in conjunction with this standard.</w:t>
      </w:r>
    </w:p>
    <w:p w:rsidR="00000000" w:rsidDel="00000000" w:rsidP="00000000" w:rsidRDefault="00000000" w:rsidRPr="00000000" w14:paraId="0000003C">
      <w:pPr>
        <w:jc w:val="both"/>
        <w:rPr/>
      </w:pPr>
      <w:r w:rsidDel="00000000" w:rsidR="00000000" w:rsidRPr="00000000">
        <w:rPr>
          <w:rtl w:val="0"/>
        </w:rPr>
      </w:r>
    </w:p>
    <w:tbl>
      <w:tblPr>
        <w:tblStyle w:val="Table2"/>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8"/>
        <w:gridCol w:w="7290"/>
        <w:tblGridChange w:id="0">
          <w:tblGrid>
            <w:gridCol w:w="2538"/>
            <w:gridCol w:w="7290"/>
          </w:tblGrid>
        </w:tblGridChange>
      </w:tblGrid>
      <w:tr>
        <w:trPr>
          <w:cantSplit w:val="0"/>
          <w:trHeight w:val="360" w:hRule="atLeast"/>
          <w:tblHeader w:val="0"/>
        </w:trPr>
        <w:tc>
          <w:tcPr/>
          <w:p w:rsidR="00000000" w:rsidDel="00000000" w:rsidP="00000000" w:rsidRDefault="00000000" w:rsidRPr="00000000" w14:paraId="0000003D">
            <w:pPr>
              <w:jc w:val="center"/>
              <w:rPr>
                <w:i w:val="1"/>
              </w:rPr>
            </w:pPr>
            <w:r w:rsidDel="00000000" w:rsidR="00000000" w:rsidRPr="00000000">
              <w:rPr>
                <w:i w:val="1"/>
                <w:rtl w:val="0"/>
              </w:rPr>
              <w:t xml:space="preserve">International Standard</w:t>
            </w:r>
          </w:p>
        </w:tc>
        <w:tc>
          <w:tcPr/>
          <w:p w:rsidR="00000000" w:rsidDel="00000000" w:rsidP="00000000" w:rsidRDefault="00000000" w:rsidRPr="00000000" w14:paraId="0000003E">
            <w:pPr>
              <w:jc w:val="center"/>
              <w:rPr>
                <w:i w:val="1"/>
              </w:rPr>
            </w:pPr>
            <w:r w:rsidDel="00000000" w:rsidR="00000000" w:rsidRPr="00000000">
              <w:rPr>
                <w:i w:val="1"/>
                <w:rtl w:val="0"/>
              </w:rPr>
              <w:t xml:space="preserve">Title</w:t>
            </w:r>
          </w:p>
        </w:tc>
      </w:tr>
      <w:tr>
        <w:trPr>
          <w:cantSplit w:val="0"/>
          <w:trHeight w:val="360" w:hRule="atLeast"/>
          <w:tblHeader w:val="0"/>
        </w:trPr>
        <w:tc>
          <w:tcPr/>
          <w:p w:rsidR="00000000" w:rsidDel="00000000" w:rsidP="00000000" w:rsidRDefault="00000000" w:rsidRPr="00000000" w14:paraId="0000003F">
            <w:pPr>
              <w:rPr>
                <w:highlight w:val="yellow"/>
              </w:rPr>
            </w:pPr>
            <w:r w:rsidDel="00000000" w:rsidR="00000000" w:rsidRPr="00000000">
              <w:rPr>
                <w:rtl w:val="0"/>
              </w:rPr>
              <w:t xml:space="preserve">IEC TS 62600-1: </w:t>
            </w: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t xml:space="preserve">Marine energy – Wave, tidal and other water current converters – Part</w:t>
            </w:r>
          </w:p>
          <w:p w:rsidR="00000000" w:rsidDel="00000000" w:rsidP="00000000" w:rsidRDefault="00000000" w:rsidRPr="00000000" w14:paraId="00000041">
            <w:pPr>
              <w:rPr>
                <w:highlight w:val="yellow"/>
              </w:rPr>
            </w:pPr>
            <w:r w:rsidDel="00000000" w:rsidR="00000000" w:rsidRPr="00000000">
              <w:rPr>
                <w:rtl w:val="0"/>
              </w:rPr>
              <w:t xml:space="preserve">1: Terminology</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42">
            <w:pPr>
              <w:rPr>
                <w:highlight w:val="yellow"/>
              </w:rPr>
            </w:pPr>
            <w:r w:rsidDel="00000000" w:rsidR="00000000" w:rsidRPr="00000000">
              <w:rPr>
                <w:rtl w:val="0"/>
              </w:rPr>
              <w:t xml:space="preserve">ISO 13628-5: 2009,</w:t>
            </w: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t xml:space="preserve">Petroleum and natural gas industries – Design and operation of subsea</w:t>
            </w:r>
          </w:p>
          <w:p w:rsidR="00000000" w:rsidDel="00000000" w:rsidP="00000000" w:rsidRDefault="00000000" w:rsidRPr="00000000" w14:paraId="00000044">
            <w:pPr>
              <w:rPr>
                <w:highlight w:val="yellow"/>
              </w:rPr>
            </w:pPr>
            <w:r w:rsidDel="00000000" w:rsidR="00000000" w:rsidRPr="00000000">
              <w:rPr>
                <w:rtl w:val="0"/>
              </w:rPr>
              <w:t xml:space="preserve">production systems – Part 5: Subsea umbilical</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45">
            <w:pPr>
              <w:rPr>
                <w:highlight w:val="yellow"/>
              </w:rPr>
            </w:pPr>
            <w:r w:rsidDel="00000000" w:rsidR="00000000" w:rsidRPr="00000000">
              <w:rPr>
                <w:rtl w:val="0"/>
              </w:rPr>
              <w:t xml:space="preserve">ISO 13628-11: 2007,</w:t>
            </w: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t xml:space="preserve">Petroleum and natural gas industries – Design and operation of subsea</w:t>
            </w:r>
          </w:p>
          <w:p w:rsidR="00000000" w:rsidDel="00000000" w:rsidP="00000000" w:rsidRDefault="00000000" w:rsidRPr="00000000" w14:paraId="00000047">
            <w:pPr>
              <w:rPr/>
            </w:pPr>
            <w:r w:rsidDel="00000000" w:rsidR="00000000" w:rsidRPr="00000000">
              <w:rPr>
                <w:rtl w:val="0"/>
              </w:rPr>
              <w:t xml:space="preserve">production systems – Part 11: Flexible pipe systems for subsea and marine applications</w:t>
            </w:r>
          </w:p>
        </w:tc>
      </w:tr>
      <w:tr>
        <w:trPr>
          <w:cantSplit w:val="0"/>
          <w:trHeight w:val="360" w:hRule="atLeast"/>
          <w:tblHeader w:val="0"/>
        </w:trPr>
        <w:tc>
          <w:tcPr/>
          <w:p w:rsidR="00000000" w:rsidDel="00000000" w:rsidP="00000000" w:rsidRDefault="00000000" w:rsidRPr="00000000" w14:paraId="00000048">
            <w:pPr>
              <w:rPr/>
            </w:pPr>
            <w:r w:rsidDel="00000000" w:rsidR="00000000" w:rsidRPr="00000000">
              <w:rPr>
                <w:rtl w:val="0"/>
              </w:rPr>
              <w:t xml:space="preserve">ISO 19900,</w:t>
            </w:r>
          </w:p>
        </w:tc>
        <w:tc>
          <w:tcPr/>
          <w:p w:rsidR="00000000" w:rsidDel="00000000" w:rsidP="00000000" w:rsidRDefault="00000000" w:rsidRPr="00000000" w14:paraId="00000049">
            <w:pPr>
              <w:rPr/>
            </w:pPr>
            <w:r w:rsidDel="00000000" w:rsidR="00000000" w:rsidRPr="00000000">
              <w:rPr>
                <w:rtl w:val="0"/>
              </w:rPr>
              <w:t xml:space="preserve">Petroleum and natural gas industries – General requirements for offshore</w:t>
            </w:r>
          </w:p>
          <w:p w:rsidR="00000000" w:rsidDel="00000000" w:rsidP="00000000" w:rsidRDefault="00000000" w:rsidRPr="00000000" w14:paraId="0000004A">
            <w:pPr>
              <w:rPr/>
            </w:pPr>
            <w:r w:rsidDel="00000000" w:rsidR="00000000" w:rsidRPr="00000000">
              <w:rPr>
                <w:rtl w:val="0"/>
              </w:rPr>
              <w:t xml:space="preserve">structures</w:t>
            </w:r>
          </w:p>
        </w:tc>
      </w:tr>
      <w:tr>
        <w:trPr>
          <w:cantSplit w:val="0"/>
          <w:trHeight w:val="360" w:hRule="atLeast"/>
          <w:tblHeader w:val="0"/>
        </w:trPr>
        <w:tc>
          <w:tcPr/>
          <w:p w:rsidR="00000000" w:rsidDel="00000000" w:rsidP="00000000" w:rsidRDefault="00000000" w:rsidRPr="00000000" w14:paraId="0000004B">
            <w:pPr>
              <w:rPr/>
            </w:pPr>
            <w:r w:rsidDel="00000000" w:rsidR="00000000" w:rsidRPr="00000000">
              <w:rPr>
                <w:rtl w:val="0"/>
              </w:rPr>
              <w:t xml:space="preserve">ISO 19901 (all parts)</w:t>
            </w:r>
          </w:p>
        </w:tc>
        <w:tc>
          <w:tcPr/>
          <w:p w:rsidR="00000000" w:rsidDel="00000000" w:rsidP="00000000" w:rsidRDefault="00000000" w:rsidRPr="00000000" w14:paraId="0000004C">
            <w:pPr>
              <w:rPr/>
            </w:pPr>
            <w:r w:rsidDel="00000000" w:rsidR="00000000" w:rsidRPr="00000000">
              <w:rPr>
                <w:rtl w:val="0"/>
              </w:rPr>
              <w:t xml:space="preserve">Petroleum and natural gas industries – Specific requirements for</w:t>
            </w:r>
          </w:p>
          <w:p w:rsidR="00000000" w:rsidDel="00000000" w:rsidP="00000000" w:rsidRDefault="00000000" w:rsidRPr="00000000" w14:paraId="0000004D">
            <w:pPr>
              <w:rPr/>
            </w:pPr>
            <w:r w:rsidDel="00000000" w:rsidR="00000000" w:rsidRPr="00000000">
              <w:rPr>
                <w:rtl w:val="0"/>
              </w:rPr>
              <w:t xml:space="preserve">offshore structures</w:t>
            </w:r>
          </w:p>
        </w:tc>
      </w:tr>
      <w:tr>
        <w:trPr>
          <w:cantSplit w:val="0"/>
          <w:trHeight w:val="360" w:hRule="atLeast"/>
          <w:tblHeader w:val="0"/>
        </w:trPr>
        <w:tc>
          <w:tcPr/>
          <w:p w:rsidR="00000000" w:rsidDel="00000000" w:rsidP="00000000" w:rsidRDefault="00000000" w:rsidRPr="00000000" w14:paraId="0000004E">
            <w:pPr>
              <w:rPr/>
            </w:pPr>
            <w:r w:rsidDel="00000000" w:rsidR="00000000" w:rsidRPr="00000000">
              <w:rPr>
                <w:rtl w:val="0"/>
              </w:rPr>
              <w:t xml:space="preserve">ISO 19901-1,</w:t>
            </w:r>
          </w:p>
        </w:tc>
        <w:tc>
          <w:tcPr/>
          <w:p w:rsidR="00000000" w:rsidDel="00000000" w:rsidP="00000000" w:rsidRDefault="00000000" w:rsidRPr="00000000" w14:paraId="0000004F">
            <w:pPr>
              <w:rPr/>
            </w:pPr>
            <w:r w:rsidDel="00000000" w:rsidR="00000000" w:rsidRPr="00000000">
              <w:rPr>
                <w:rtl w:val="0"/>
              </w:rPr>
              <w:t xml:space="preserve">Petroleum and natural gas industries – Specific requirements for offshore</w:t>
            </w:r>
          </w:p>
          <w:p w:rsidR="00000000" w:rsidDel="00000000" w:rsidP="00000000" w:rsidRDefault="00000000" w:rsidRPr="00000000" w14:paraId="00000050">
            <w:pPr>
              <w:rPr/>
            </w:pPr>
            <w:r w:rsidDel="00000000" w:rsidR="00000000" w:rsidRPr="00000000">
              <w:rPr>
                <w:rtl w:val="0"/>
              </w:rPr>
              <w:t xml:space="preserve">structures – Part 1: Metocean design and operating considerations</w:t>
            </w:r>
          </w:p>
        </w:tc>
      </w:tr>
      <w:tr>
        <w:trPr>
          <w:cantSplit w:val="0"/>
          <w:trHeight w:val="360" w:hRule="atLeast"/>
          <w:tblHeader w:val="0"/>
        </w:trPr>
        <w:tc>
          <w:tcPr/>
          <w:p w:rsidR="00000000" w:rsidDel="00000000" w:rsidP="00000000" w:rsidRDefault="00000000" w:rsidRPr="00000000" w14:paraId="00000051">
            <w:pPr>
              <w:rPr/>
            </w:pPr>
            <w:r w:rsidDel="00000000" w:rsidR="00000000" w:rsidRPr="00000000">
              <w:rPr>
                <w:rtl w:val="0"/>
              </w:rPr>
              <w:t xml:space="preserve">ISO 19901-7:2013,</w:t>
            </w:r>
          </w:p>
        </w:tc>
        <w:tc>
          <w:tcPr/>
          <w:p w:rsidR="00000000" w:rsidDel="00000000" w:rsidP="00000000" w:rsidRDefault="00000000" w:rsidRPr="00000000" w14:paraId="00000052">
            <w:pPr>
              <w:rPr/>
            </w:pPr>
            <w:r w:rsidDel="00000000" w:rsidR="00000000" w:rsidRPr="00000000">
              <w:rPr>
                <w:rtl w:val="0"/>
              </w:rPr>
              <w:t xml:space="preserve">Petroleum and natural gas industries – Specific requirements for offshore</w:t>
            </w:r>
          </w:p>
          <w:p w:rsidR="00000000" w:rsidDel="00000000" w:rsidP="00000000" w:rsidRDefault="00000000" w:rsidRPr="00000000" w14:paraId="00000053">
            <w:pPr>
              <w:rPr/>
            </w:pPr>
            <w:r w:rsidDel="00000000" w:rsidR="00000000" w:rsidRPr="00000000">
              <w:rPr>
                <w:rtl w:val="0"/>
              </w:rPr>
              <w:t xml:space="preserve">structures – Part 7: Station keeping systems for floating offshore structures and mobile offshore units</w:t>
            </w:r>
          </w:p>
        </w:tc>
      </w:tr>
      <w:tr>
        <w:trPr>
          <w:cantSplit w:val="0"/>
          <w:trHeight w:val="360" w:hRule="atLeast"/>
          <w:tblHeader w:val="0"/>
        </w:trPr>
        <w:tc>
          <w:tcPr/>
          <w:p w:rsidR="00000000" w:rsidDel="00000000" w:rsidP="00000000" w:rsidRDefault="00000000" w:rsidRPr="00000000" w14:paraId="00000054">
            <w:pPr>
              <w:rPr/>
            </w:pPr>
            <w:r w:rsidDel="00000000" w:rsidR="00000000" w:rsidRPr="00000000">
              <w:rPr>
                <w:rtl w:val="0"/>
              </w:rPr>
              <w:t xml:space="preserve">ISO 19902,</w:t>
            </w:r>
          </w:p>
        </w:tc>
        <w:tc>
          <w:tcPr/>
          <w:p w:rsidR="00000000" w:rsidDel="00000000" w:rsidP="00000000" w:rsidRDefault="00000000" w:rsidRPr="00000000" w14:paraId="00000055">
            <w:pPr>
              <w:rPr/>
            </w:pPr>
            <w:r w:rsidDel="00000000" w:rsidR="00000000" w:rsidRPr="00000000">
              <w:rPr>
                <w:rtl w:val="0"/>
              </w:rPr>
              <w:t xml:space="preserve">Petroleum and natural gas industries – Fixed steel offshore structures</w:t>
            </w:r>
          </w:p>
        </w:tc>
      </w:tr>
      <w:tr>
        <w:trPr>
          <w:cantSplit w:val="0"/>
          <w:trHeight w:val="360" w:hRule="atLeast"/>
          <w:tblHeader w:val="0"/>
        </w:trPr>
        <w:tc>
          <w:tcPr/>
          <w:p w:rsidR="00000000" w:rsidDel="00000000" w:rsidP="00000000" w:rsidRDefault="00000000" w:rsidRPr="00000000" w14:paraId="00000056">
            <w:pPr>
              <w:rPr/>
            </w:pPr>
            <w:r w:rsidDel="00000000" w:rsidR="00000000" w:rsidRPr="00000000">
              <w:rPr>
                <w:rtl w:val="0"/>
              </w:rPr>
              <w:t xml:space="preserve">ISO 19903,</w:t>
            </w:r>
          </w:p>
        </w:tc>
        <w:tc>
          <w:tcPr/>
          <w:p w:rsidR="00000000" w:rsidDel="00000000" w:rsidP="00000000" w:rsidRDefault="00000000" w:rsidRPr="00000000" w14:paraId="00000057">
            <w:pPr>
              <w:rPr/>
            </w:pPr>
            <w:r w:rsidDel="00000000" w:rsidR="00000000" w:rsidRPr="00000000">
              <w:rPr>
                <w:rtl w:val="0"/>
              </w:rPr>
              <w:t xml:space="preserve">Petroleum and natural gas industries – Fixed concrete offshore structures</w:t>
            </w:r>
          </w:p>
        </w:tc>
      </w:tr>
      <w:tr>
        <w:trPr>
          <w:cantSplit w:val="0"/>
          <w:trHeight w:val="360" w:hRule="atLeast"/>
          <w:tblHeader w:val="0"/>
        </w:trPr>
        <w:tc>
          <w:tcPr/>
          <w:p w:rsidR="00000000" w:rsidDel="00000000" w:rsidP="00000000" w:rsidRDefault="00000000" w:rsidRPr="00000000" w14:paraId="00000058">
            <w:pPr>
              <w:rPr/>
            </w:pPr>
            <w:r w:rsidDel="00000000" w:rsidR="00000000" w:rsidRPr="00000000">
              <w:rPr>
                <w:rtl w:val="0"/>
              </w:rPr>
              <w:t xml:space="preserve">ISO 19905 (all parts),</w:t>
            </w:r>
          </w:p>
        </w:tc>
        <w:tc>
          <w:tcPr/>
          <w:p w:rsidR="00000000" w:rsidDel="00000000" w:rsidP="00000000" w:rsidRDefault="00000000" w:rsidRPr="00000000" w14:paraId="00000059">
            <w:pPr>
              <w:rPr/>
            </w:pPr>
            <w:r w:rsidDel="00000000" w:rsidR="00000000" w:rsidRPr="00000000">
              <w:rPr>
                <w:rtl w:val="0"/>
              </w:rPr>
              <w:t xml:space="preserve">Petroleum and natural gas industries – Mobile offshore units – Jackups</w:t>
            </w:r>
          </w:p>
        </w:tc>
      </w:tr>
      <w:tr>
        <w:trPr>
          <w:cantSplit w:val="0"/>
          <w:trHeight w:val="360" w:hRule="atLeast"/>
          <w:tblHeader w:val="0"/>
        </w:trPr>
        <w:tc>
          <w:tcPr/>
          <w:p w:rsidR="00000000" w:rsidDel="00000000" w:rsidP="00000000" w:rsidRDefault="00000000" w:rsidRPr="00000000" w14:paraId="0000005A">
            <w:pPr>
              <w:rPr/>
            </w:pPr>
            <w:r w:rsidDel="00000000" w:rsidR="00000000" w:rsidRPr="00000000">
              <w:rPr>
                <w:rtl w:val="0"/>
              </w:rPr>
              <w:t xml:space="preserve">ISO 19906,</w:t>
            </w:r>
          </w:p>
        </w:tc>
        <w:tc>
          <w:tcPr/>
          <w:p w:rsidR="00000000" w:rsidDel="00000000" w:rsidP="00000000" w:rsidRDefault="00000000" w:rsidRPr="00000000" w14:paraId="0000005B">
            <w:pPr>
              <w:rPr/>
            </w:pPr>
            <w:r w:rsidDel="00000000" w:rsidR="00000000" w:rsidRPr="00000000">
              <w:rPr>
                <w:rtl w:val="0"/>
              </w:rPr>
              <w:t xml:space="preserve">Petroleum and natural gas industries – Arctic offshore structures</w:t>
            </w:r>
          </w:p>
        </w:tc>
      </w:tr>
      <w:tr>
        <w:trPr>
          <w:cantSplit w:val="0"/>
          <w:trHeight w:val="360" w:hRule="atLeast"/>
          <w:tblHeader w:val="0"/>
        </w:trPr>
        <w:tc>
          <w:tcPr/>
          <w:p w:rsidR="00000000" w:rsidDel="00000000" w:rsidP="00000000" w:rsidRDefault="00000000" w:rsidRPr="00000000" w14:paraId="0000005C">
            <w:pPr>
              <w:rPr/>
            </w:pPr>
            <w:r w:rsidDel="00000000" w:rsidR="00000000" w:rsidRPr="00000000">
              <w:rPr>
                <w:rtl w:val="0"/>
              </w:rPr>
              <w:t xml:space="preserve">ISO 21650,</w:t>
            </w:r>
          </w:p>
        </w:tc>
        <w:tc>
          <w:tcPr/>
          <w:p w:rsidR="00000000" w:rsidDel="00000000" w:rsidP="00000000" w:rsidRDefault="00000000" w:rsidRPr="00000000" w14:paraId="0000005D">
            <w:pPr>
              <w:rPr/>
            </w:pPr>
            <w:r w:rsidDel="00000000" w:rsidR="00000000" w:rsidRPr="00000000">
              <w:rPr>
                <w:rtl w:val="0"/>
              </w:rPr>
              <w:t xml:space="preserve">Actions from waves and currents on coastal structures</w:t>
            </w:r>
          </w:p>
        </w:tc>
      </w:tr>
    </w:tbl>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For the purpose of deciding whether a particular requirement of this standard is complied with, the final value, observed or calculated expressing the result of a test, shall be rounded off in accordance with IS 2: 2022 ‘Rules for rounding off numerical values (</w:t>
      </w:r>
      <w:r w:rsidDel="00000000" w:rsidR="00000000" w:rsidRPr="00000000">
        <w:rPr>
          <w:i w:val="1"/>
          <w:rtl w:val="0"/>
        </w:rPr>
        <w:t xml:space="preserve">second revision</w:t>
      </w:r>
      <w:r w:rsidDel="00000000" w:rsidR="00000000" w:rsidRPr="00000000">
        <w:rPr>
          <w:rtl w:val="0"/>
        </w:rPr>
        <w:t xml:space="preserve">)’. The number of significant places retained in the rounded off value should be the same as that of the specified value in this standard.</w:t>
      </w:r>
    </w:p>
    <w:p w:rsidR="00000000" w:rsidDel="00000000" w:rsidP="00000000" w:rsidRDefault="00000000" w:rsidRPr="00000000" w14:paraId="00000060">
      <w:pPr>
        <w:spacing w:after="160" w:line="259" w:lineRule="auto"/>
        <w:rPr>
          <w:b w:val="1"/>
        </w:rPr>
      </w:pPr>
      <w:r w:rsidDel="00000000" w:rsidR="00000000" w:rsidRPr="00000000">
        <w:rPr>
          <w:rtl w:val="0"/>
        </w:rPr>
      </w:r>
    </w:p>
    <w:sectPr>
      <w:pgSz w:h="15840" w:w="12240" w:orient="portrait"/>
      <w:pgMar w:bottom="1418" w:top="99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Kokil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hyperlink" Target="http://www.standardsbis.in" TargetMode="External"/><Relationship Id="rId12" Type="http://schemas.openxmlformats.org/officeDocument/2006/relationships/hyperlink" Target="http://www.bis.org.in" TargetMode="External"/><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