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EE161" w14:textId="77777777" w:rsidR="00DC0C91" w:rsidRDefault="00DC0C91" w:rsidP="008670C5">
      <w:pPr>
        <w:autoSpaceDE w:val="0"/>
        <w:autoSpaceDN w:val="0"/>
        <w:adjustRightInd w:val="0"/>
        <w:ind w:firstLine="6660"/>
        <w:rPr>
          <w:rFonts w:ascii="Arial" w:hAnsi="Arial" w:cs="Arial"/>
          <w:b/>
          <w:color w:val="000000"/>
          <w:lang w:val="fr-FR"/>
        </w:rPr>
      </w:pPr>
      <w:r>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79A96229" wp14:editId="7227C9F5">
                <wp:simplePos x="0" y="0"/>
                <wp:positionH relativeFrom="column">
                  <wp:posOffset>1933575</wp:posOffset>
                </wp:positionH>
                <wp:positionV relativeFrom="paragraph">
                  <wp:posOffset>-133350</wp:posOffset>
                </wp:positionV>
                <wp:extent cx="1628775" cy="619125"/>
                <wp:effectExtent l="0" t="0" r="28575" b="2857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619125"/>
                        </a:xfrm>
                        <a:prstGeom prst="rect">
                          <a:avLst/>
                        </a:prstGeom>
                        <a:solidFill>
                          <a:srgbClr val="FFFFFF"/>
                        </a:solidFill>
                        <a:ln w="9525">
                          <a:solidFill>
                            <a:sysClr val="window" lastClr="FFFFFF">
                              <a:lumMod val="100000"/>
                              <a:lumOff val="0"/>
                            </a:sysClr>
                          </a:solidFill>
                          <a:miter lim="800000"/>
                          <a:headEnd/>
                          <a:tailEnd/>
                        </a:ln>
                      </wps:spPr>
                      <wps:txbx>
                        <w:txbxContent>
                          <w:p w14:paraId="5E334F97" w14:textId="77777777" w:rsidR="00DC0C91" w:rsidRPr="00422026" w:rsidRDefault="00DC0C91" w:rsidP="00DC0C91">
                            <w:pPr>
                              <w:ind w:hanging="180"/>
                              <w:jc w:val="cente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71812BD2" w14:textId="77777777" w:rsidR="00DC0C91" w:rsidRPr="00F20963" w:rsidRDefault="00DC0C91" w:rsidP="00DC0C91">
                            <w:pPr>
                              <w:ind w:left="-180"/>
                              <w:jc w:val="center"/>
                              <w:rPr>
                                <w:rFonts w:ascii="Arial" w:hAnsi="Arial" w:cs="Arial"/>
                                <w:b/>
                                <w:i/>
                                <w:sz w:val="28"/>
                                <w:szCs w:val="32"/>
                              </w:rPr>
                            </w:pPr>
                            <w:r w:rsidRPr="00F20963">
                              <w:rPr>
                                <w:rFonts w:ascii="Arial" w:hAnsi="Arial" w:cs="Arial"/>
                                <w:b/>
                                <w:i/>
                                <w:sz w:val="28"/>
                                <w:szCs w:val="32"/>
                              </w:rPr>
                              <w:t>Indian Standard</w:t>
                            </w:r>
                          </w:p>
                          <w:p w14:paraId="037AFA93" w14:textId="77777777" w:rsidR="00DC0C91" w:rsidRPr="00C536D7" w:rsidRDefault="00DC0C91" w:rsidP="00DC0C91">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0CE00" id="_x0000_t202" coordsize="21600,21600" o:spt="202" path="m,l,21600r21600,l21600,xe">
                <v:stroke joinstyle="miter"/>
                <v:path gradientshapeok="t" o:connecttype="rect"/>
              </v:shapetype>
              <v:shape id="Text Box 20" o:spid="_x0000_s1026" type="#_x0000_t202" style="position:absolute;left:0;text-align:left;margin-left:152.25pt;margin-top:-10.5pt;width:128.2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" strokecolor="white">
                <v:textbox>
                  <w:txbxContent>
                    <w:p w:rsidR="00DC0C91" w:rsidRPr="00422026" w:rsidRDefault="00DC0C91" w:rsidP="00DC0C91">
                      <w:pPr>
                        <w:ind w:hanging="180"/>
                        <w:jc w:val="cente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DC0C91" w:rsidRPr="00F20963" w:rsidRDefault="00DC0C91" w:rsidP="00DC0C91">
                      <w:pPr>
                        <w:ind w:left="-180"/>
                        <w:jc w:val="center"/>
                        <w:rPr>
                          <w:rFonts w:ascii="Arial" w:hAnsi="Arial" w:cs="Arial"/>
                          <w:b/>
                          <w:i/>
                          <w:sz w:val="28"/>
                          <w:szCs w:val="32"/>
                        </w:rPr>
                      </w:pPr>
                      <w:r w:rsidRPr="00F20963">
                        <w:rPr>
                          <w:rFonts w:ascii="Arial" w:hAnsi="Arial" w:cs="Arial"/>
                          <w:b/>
                          <w:i/>
                          <w:sz w:val="28"/>
                          <w:szCs w:val="32"/>
                        </w:rPr>
                        <w:t>Indian Standard</w:t>
                      </w:r>
                    </w:p>
                    <w:p w:rsidR="00DC0C91" w:rsidRPr="00C536D7" w:rsidRDefault="00DC0C91" w:rsidP="00DC0C91">
                      <w:pPr>
                        <w:rPr>
                          <w:b/>
                          <w:i/>
                        </w:rPr>
                      </w:pPr>
                    </w:p>
                  </w:txbxContent>
                </v:textbox>
              </v:shape>
            </w:pict>
          </mc:Fallback>
        </mc:AlternateContent>
      </w:r>
      <w:r w:rsidR="00852B87">
        <w:rPr>
          <w:rFonts w:ascii="Arial" w:hAnsi="Arial" w:cs="Arial"/>
          <w:b/>
          <w:color w:val="000000"/>
          <w:lang w:val="fr-FR"/>
        </w:rPr>
        <w:t xml:space="preserve"> </w:t>
      </w:r>
      <w:r>
        <w:rPr>
          <w:rFonts w:ascii="Arial" w:hAnsi="Arial" w:cs="Arial"/>
          <w:b/>
          <w:color w:val="000000"/>
          <w:lang w:val="fr-FR"/>
        </w:rPr>
        <w:t>IS xxxxx : 2024</w:t>
      </w:r>
    </w:p>
    <w:p w14:paraId="1AB94851" w14:textId="77777777" w:rsidR="00DC0C91" w:rsidRPr="001823FF" w:rsidRDefault="00DC0C91" w:rsidP="00DC0C91">
      <w:pPr>
        <w:autoSpaceDE w:val="0"/>
        <w:autoSpaceDN w:val="0"/>
        <w:adjustRightInd w:val="0"/>
        <w:ind w:left="4320" w:firstLine="720"/>
        <w:rPr>
          <w:rFonts w:ascii="Arial" w:hAnsi="Arial" w:cs="Arial"/>
          <w:b/>
          <w:color w:val="000000"/>
          <w:lang w:val="fr-FR"/>
        </w:rPr>
      </w:pPr>
      <w:r>
        <w:rPr>
          <w:rFonts w:ascii="Arial" w:hAnsi="Arial" w:cs="Arial"/>
          <w:b/>
          <w:color w:val="000000"/>
          <w:lang w:val="fr-FR"/>
        </w:rPr>
        <w:t xml:space="preserve">                        </w:t>
      </w:r>
      <w:r w:rsidR="00852B87">
        <w:rPr>
          <w:rFonts w:ascii="Arial" w:hAnsi="Arial" w:cs="Arial"/>
          <w:b/>
          <w:color w:val="000000"/>
          <w:lang w:val="fr-FR"/>
        </w:rPr>
        <w:t xml:space="preserve"> </w:t>
      </w:r>
      <w:r w:rsidR="00DA50A0">
        <w:rPr>
          <w:rFonts w:ascii="Arial" w:hAnsi="Arial" w:cs="Arial"/>
          <w:b/>
          <w:color w:val="000000"/>
          <w:lang w:val="fr-FR"/>
        </w:rPr>
        <w:t xml:space="preserve">IEC </w:t>
      </w:r>
      <w:r w:rsidR="00852B87">
        <w:rPr>
          <w:rFonts w:ascii="Arial" w:hAnsi="Arial" w:cs="Arial"/>
          <w:b/>
          <w:color w:val="000000"/>
          <w:lang w:val="fr-FR"/>
        </w:rPr>
        <w:t xml:space="preserve">TS </w:t>
      </w:r>
      <w:r w:rsidRPr="000A0801">
        <w:rPr>
          <w:rFonts w:ascii="Arial" w:hAnsi="Arial" w:cs="Arial"/>
          <w:b/>
          <w:bCs/>
        </w:rPr>
        <w:t>62933-</w:t>
      </w:r>
      <w:r w:rsidR="00D14909">
        <w:rPr>
          <w:rFonts w:ascii="Arial" w:hAnsi="Arial" w:cs="Arial"/>
          <w:b/>
          <w:bCs/>
        </w:rPr>
        <w:t>3</w:t>
      </w:r>
      <w:r w:rsidRPr="000A0801">
        <w:rPr>
          <w:rFonts w:ascii="Arial" w:hAnsi="Arial" w:cs="Arial"/>
          <w:b/>
          <w:bCs/>
        </w:rPr>
        <w:t>-</w:t>
      </w:r>
      <w:r w:rsidR="00D14909">
        <w:rPr>
          <w:rFonts w:ascii="Arial" w:hAnsi="Arial" w:cs="Arial"/>
          <w:b/>
          <w:bCs/>
        </w:rPr>
        <w:t>1: 2018</w:t>
      </w:r>
    </w:p>
    <w:p w14:paraId="51180B7D" w14:textId="77777777" w:rsidR="00DC0C91" w:rsidRDefault="00DC0C91" w:rsidP="00DC0C91">
      <w:pPr>
        <w:autoSpaceDE w:val="0"/>
        <w:autoSpaceDN w:val="0"/>
        <w:adjustRightInd w:val="0"/>
        <w:ind w:left="6210" w:right="74" w:hanging="2250"/>
        <w:jc w:val="both"/>
        <w:rPr>
          <w:rFonts w:ascii="Arial" w:hAnsi="Arial" w:cs="Arial"/>
          <w:bCs/>
          <w:i/>
          <w:iCs/>
          <w:color w:val="000000"/>
          <w:sz w:val="20"/>
          <w:szCs w:val="20"/>
          <w:lang w:val="fr-FR"/>
        </w:rPr>
      </w:pPr>
    </w:p>
    <w:p w14:paraId="227D9FDD" w14:textId="77777777" w:rsidR="00DC0C91" w:rsidRDefault="00DC0C91" w:rsidP="00912D24">
      <w:pPr>
        <w:tabs>
          <w:tab w:val="left" w:pos="2250"/>
          <w:tab w:val="left" w:pos="2790"/>
          <w:tab w:val="left" w:pos="2970"/>
        </w:tabs>
        <w:ind w:left="2790"/>
        <w:jc w:val="right"/>
        <w:rPr>
          <w:rFonts w:ascii="Arial" w:hAnsi="Arial" w:cs="Arial"/>
        </w:rPr>
      </w:pPr>
      <w:r>
        <w:rPr>
          <w:rFonts w:ascii="Arial" w:hAnsi="Arial" w:cs="Arial"/>
          <w:noProof/>
          <w:position w:val="-1"/>
          <w:sz w:val="10"/>
        </w:rPr>
        <mc:AlternateContent>
          <mc:Choice Requires="wpg">
            <w:drawing>
              <wp:inline distT="0" distB="0" distL="0" distR="0" wp14:anchorId="7B7BC100" wp14:editId="55A806B9">
                <wp:extent cx="3990975" cy="64135"/>
                <wp:effectExtent l="0" t="0" r="28575" b="1206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990975" cy="64135"/>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D607DE" id="Group 8" o:spid="_x0000_s1026" style="width:314.25pt;height:5.05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14:paraId="486AB8E0" w14:textId="77777777" w:rsidR="00DC0C91" w:rsidRPr="008670C5" w:rsidRDefault="00DC0C91" w:rsidP="009C103B">
      <w:pPr>
        <w:ind w:left="3510"/>
        <w:jc w:val="center"/>
        <w:rPr>
          <w:rFonts w:ascii="Arial" w:hAnsi="Arial" w:cs="Arial"/>
          <w:sz w:val="32"/>
          <w:szCs w:val="32"/>
          <w:rtl/>
          <w:cs/>
        </w:rPr>
      </w:pPr>
    </w:p>
    <w:p w14:paraId="4143502D" w14:textId="77777777" w:rsidR="00DC0C91" w:rsidRPr="007511B0" w:rsidRDefault="00DC0C91" w:rsidP="00912D24">
      <w:pPr>
        <w:widowControl w:val="0"/>
        <w:tabs>
          <w:tab w:val="left" w:pos="426"/>
        </w:tabs>
        <w:autoSpaceDE w:val="0"/>
        <w:autoSpaceDN w:val="0"/>
        <w:adjustRightInd w:val="0"/>
        <w:ind w:left="2880" w:hanging="180"/>
        <w:jc w:val="center"/>
        <w:rPr>
          <w:rFonts w:ascii="Kokila" w:hAnsi="Kokila" w:cs="Kokila"/>
          <w:bCs/>
          <w:iCs/>
          <w:sz w:val="52"/>
          <w:szCs w:val="52"/>
          <w:lang w:bidi="hi-IN"/>
        </w:rPr>
      </w:pPr>
      <w:r w:rsidRPr="00F377CF">
        <w:rPr>
          <w:rFonts w:ascii="Kokila" w:hAnsi="Kokila" w:cs="Kokila"/>
          <w:bCs/>
          <w:color w:val="222222"/>
          <w:sz w:val="52"/>
          <w:szCs w:val="52"/>
          <w:lang w:bidi="hi-IN"/>
        </w:rPr>
        <w:tab/>
      </w:r>
      <w:r w:rsidRPr="007511B0">
        <w:rPr>
          <w:rFonts w:ascii="Kokila" w:hAnsi="Kokila" w:cs="Kokila"/>
          <w:bCs/>
          <w:iCs/>
          <w:sz w:val="52"/>
          <w:szCs w:val="52"/>
          <w:lang w:bidi="hi-IN"/>
        </w:rPr>
        <w:t>विधुत ऊर्जा सग्रहण प्रणालियाँ</w:t>
      </w:r>
    </w:p>
    <w:p w14:paraId="4E67B047" w14:textId="77777777" w:rsidR="00DC0C91" w:rsidRPr="00C0248B" w:rsidRDefault="00DA50A0" w:rsidP="00912D24">
      <w:pPr>
        <w:widowControl w:val="0"/>
        <w:tabs>
          <w:tab w:val="left" w:pos="426"/>
        </w:tabs>
        <w:autoSpaceDE w:val="0"/>
        <w:autoSpaceDN w:val="0"/>
        <w:adjustRightInd w:val="0"/>
        <w:ind w:left="2880" w:firstLine="180"/>
        <w:jc w:val="center"/>
        <w:rPr>
          <w:rFonts w:ascii="Kokila" w:hAnsi="Kokila" w:cs="Kokila"/>
          <w:bCs/>
          <w:iCs/>
          <w:sz w:val="44"/>
          <w:szCs w:val="44"/>
          <w:lang w:bidi="hi-IN"/>
        </w:rPr>
      </w:pPr>
      <w:r w:rsidRPr="00C0248B">
        <w:rPr>
          <w:rFonts w:ascii="Kokila" w:hAnsi="Kokila" w:cs="Kokila"/>
          <w:bCs/>
          <w:iCs/>
          <w:sz w:val="44"/>
          <w:szCs w:val="44"/>
          <w:lang w:bidi="hi-IN"/>
        </w:rPr>
        <w:t>भाग 3</w:t>
      </w:r>
      <w:r w:rsidR="00DC0C91" w:rsidRPr="00C0248B">
        <w:rPr>
          <w:rFonts w:ascii="Kokila" w:hAnsi="Kokila" w:cs="Kokila"/>
          <w:bCs/>
          <w:iCs/>
          <w:sz w:val="44"/>
          <w:szCs w:val="44"/>
          <w:lang w:bidi="hi-IN"/>
        </w:rPr>
        <w:t xml:space="preserve"> </w:t>
      </w:r>
      <w:r w:rsidRPr="00C0248B">
        <w:rPr>
          <w:rFonts w:ascii="Kokila" w:hAnsi="Kokila" w:cs="Kokila"/>
          <w:bCs/>
          <w:iCs/>
          <w:sz w:val="44"/>
          <w:szCs w:val="44"/>
          <w:lang w:bidi="hi-IN"/>
        </w:rPr>
        <w:t>विद्युत ऊर्जा संग्रहण प्रणालियों के आयोजन एवं प्रदर्शन मूल्यांकन</w:t>
      </w:r>
    </w:p>
    <w:p w14:paraId="7AE27D24" w14:textId="77777777" w:rsidR="00DC0C91" w:rsidRPr="00C0248B" w:rsidRDefault="00DC0C91" w:rsidP="00912D24">
      <w:pPr>
        <w:widowControl w:val="0"/>
        <w:tabs>
          <w:tab w:val="left" w:pos="426"/>
        </w:tabs>
        <w:autoSpaceDE w:val="0"/>
        <w:autoSpaceDN w:val="0"/>
        <w:adjustRightInd w:val="0"/>
        <w:ind w:left="2880" w:firstLine="90"/>
        <w:jc w:val="center"/>
        <w:rPr>
          <w:rFonts w:ascii="Mangal" w:hAnsi="Mangal" w:cs="Mangal"/>
          <w:color w:val="212529"/>
          <w:sz w:val="40"/>
          <w:szCs w:val="40"/>
          <w:shd w:val="clear" w:color="auto" w:fill="CEF1F3"/>
        </w:rPr>
      </w:pPr>
      <w:r w:rsidRPr="00C0248B">
        <w:rPr>
          <w:rFonts w:ascii="Kokila" w:hAnsi="Kokila" w:cs="Kokila"/>
          <w:bCs/>
          <w:iCs/>
          <w:sz w:val="40"/>
          <w:szCs w:val="40"/>
          <w:lang w:bidi="hi-IN"/>
        </w:rPr>
        <w:t xml:space="preserve">अनुभाग </w:t>
      </w:r>
      <w:r w:rsidR="00DA50A0" w:rsidRPr="00C0248B">
        <w:rPr>
          <w:rFonts w:ascii="Kokila" w:hAnsi="Kokila" w:cs="Kokila"/>
          <w:bCs/>
          <w:iCs/>
          <w:sz w:val="40"/>
          <w:szCs w:val="40"/>
          <w:lang w:bidi="hi-IN"/>
        </w:rPr>
        <w:t>1</w:t>
      </w:r>
      <w:r w:rsidRPr="00C0248B">
        <w:rPr>
          <w:rFonts w:ascii="Kokila" w:hAnsi="Kokila" w:cs="Kokila"/>
          <w:bCs/>
          <w:iCs/>
          <w:sz w:val="40"/>
          <w:szCs w:val="40"/>
          <w:lang w:bidi="hi-IN"/>
        </w:rPr>
        <w:t xml:space="preserve"> </w:t>
      </w:r>
      <w:r w:rsidR="00C0248B" w:rsidRPr="00C0248B">
        <w:rPr>
          <w:rFonts w:ascii="Kokila" w:hAnsi="Kokila" w:cs="Kokila"/>
          <w:bCs/>
          <w:iCs/>
          <w:sz w:val="40"/>
          <w:szCs w:val="40"/>
          <w:lang w:bidi="hi-IN"/>
        </w:rPr>
        <w:t>सामान्य विशिष्टि</w:t>
      </w:r>
    </w:p>
    <w:p w14:paraId="5DE7B6C0" w14:textId="77777777" w:rsidR="00DC0C91" w:rsidRPr="00930820" w:rsidRDefault="00DC0C91" w:rsidP="00DC0C91">
      <w:pPr>
        <w:widowControl w:val="0"/>
        <w:tabs>
          <w:tab w:val="left" w:pos="426"/>
        </w:tabs>
        <w:autoSpaceDE w:val="0"/>
        <w:autoSpaceDN w:val="0"/>
        <w:adjustRightInd w:val="0"/>
        <w:ind w:left="2880"/>
        <w:jc w:val="center"/>
        <w:rPr>
          <w:rFonts w:ascii="Kokila" w:hAnsi="Kokila" w:cs="Kokila"/>
          <w:bCs/>
          <w:iCs/>
          <w:sz w:val="40"/>
          <w:szCs w:val="36"/>
          <w:lang w:bidi="hi-IN"/>
        </w:rPr>
      </w:pPr>
    </w:p>
    <w:p w14:paraId="1D5ADA84" w14:textId="77777777" w:rsidR="00DC0C91" w:rsidRDefault="00DC0C91" w:rsidP="00912D24">
      <w:pPr>
        <w:pStyle w:val="PlainText"/>
        <w:ind w:left="3330" w:hanging="180"/>
        <w:jc w:val="center"/>
        <w:rPr>
          <w:rFonts w:ascii="Arial" w:hAnsi="Arial" w:cs="Arial"/>
          <w:bCs/>
          <w:iCs/>
          <w:sz w:val="36"/>
          <w:szCs w:val="40"/>
        </w:rPr>
      </w:pPr>
      <w:r w:rsidRPr="005A3189">
        <w:rPr>
          <w:rFonts w:ascii="Arial" w:hAnsi="Arial" w:cs="Arial"/>
          <w:bCs/>
          <w:iCs/>
          <w:sz w:val="36"/>
          <w:szCs w:val="40"/>
        </w:rPr>
        <w:t xml:space="preserve">Electrical Energy Storage (EES) systems </w:t>
      </w:r>
    </w:p>
    <w:p w14:paraId="417DA99C" w14:textId="77777777" w:rsidR="00DC0C91" w:rsidRPr="00C0248B" w:rsidRDefault="00C0248B" w:rsidP="00912D24">
      <w:pPr>
        <w:pStyle w:val="PlainText"/>
        <w:ind w:left="3330" w:hanging="270"/>
        <w:jc w:val="center"/>
        <w:rPr>
          <w:rFonts w:ascii="Arial" w:hAnsi="Arial" w:cs="Arial"/>
          <w:bCs/>
          <w:iCs/>
          <w:sz w:val="32"/>
          <w:szCs w:val="32"/>
        </w:rPr>
      </w:pPr>
      <w:r w:rsidRPr="00C0248B">
        <w:rPr>
          <w:rFonts w:ascii="Arial" w:hAnsi="Arial" w:cs="Arial"/>
          <w:bCs/>
          <w:iCs/>
          <w:sz w:val="32"/>
          <w:szCs w:val="32"/>
        </w:rPr>
        <w:t>Part 3</w:t>
      </w:r>
      <w:r w:rsidR="00DC0C91" w:rsidRPr="00C0248B">
        <w:rPr>
          <w:rFonts w:ascii="Arial" w:hAnsi="Arial" w:cs="Arial"/>
          <w:bCs/>
          <w:iCs/>
          <w:sz w:val="32"/>
          <w:szCs w:val="32"/>
        </w:rPr>
        <w:t xml:space="preserve"> </w:t>
      </w:r>
      <w:r w:rsidRPr="00C0248B">
        <w:rPr>
          <w:rFonts w:ascii="Arial" w:hAnsi="Arial" w:cs="Arial"/>
          <w:bCs/>
          <w:iCs/>
          <w:sz w:val="32"/>
          <w:szCs w:val="32"/>
        </w:rPr>
        <w:t>P</w:t>
      </w:r>
      <w:r w:rsidR="00912D24">
        <w:rPr>
          <w:rFonts w:ascii="Arial" w:hAnsi="Arial" w:cs="Arial"/>
          <w:bCs/>
          <w:iCs/>
          <w:sz w:val="32"/>
          <w:szCs w:val="32"/>
        </w:rPr>
        <w:t xml:space="preserve">lanning and Performance </w:t>
      </w:r>
      <w:r>
        <w:rPr>
          <w:rFonts w:ascii="Arial" w:hAnsi="Arial" w:cs="Arial"/>
          <w:bCs/>
          <w:iCs/>
          <w:sz w:val="32"/>
          <w:szCs w:val="32"/>
        </w:rPr>
        <w:t>Assessment of Electrical Energy Storage S</w:t>
      </w:r>
      <w:r w:rsidRPr="00C0248B">
        <w:rPr>
          <w:rFonts w:ascii="Arial" w:hAnsi="Arial" w:cs="Arial"/>
          <w:bCs/>
          <w:iCs/>
          <w:sz w:val="32"/>
          <w:szCs w:val="32"/>
        </w:rPr>
        <w:t>ystems</w:t>
      </w:r>
    </w:p>
    <w:p w14:paraId="0CE08D3B" w14:textId="77777777" w:rsidR="00DC0C91" w:rsidRPr="00C0248B" w:rsidRDefault="00DC0C91" w:rsidP="00912D24">
      <w:pPr>
        <w:pStyle w:val="PlainText"/>
        <w:ind w:left="3600" w:hanging="450"/>
        <w:jc w:val="center"/>
        <w:rPr>
          <w:rFonts w:ascii="Times New Roman" w:hAnsi="Times New Roman"/>
          <w:b/>
          <w:bCs/>
          <w:iCs/>
          <w:sz w:val="28"/>
          <w:szCs w:val="28"/>
        </w:rPr>
      </w:pPr>
      <w:r w:rsidRPr="00C0248B">
        <w:rPr>
          <w:rFonts w:ascii="Arial" w:hAnsi="Arial" w:cs="Arial"/>
          <w:bCs/>
          <w:iCs/>
          <w:sz w:val="28"/>
          <w:szCs w:val="28"/>
        </w:rPr>
        <w:t xml:space="preserve">Section </w:t>
      </w:r>
      <w:r w:rsidR="00C0248B" w:rsidRPr="00C0248B">
        <w:rPr>
          <w:rFonts w:ascii="Arial" w:hAnsi="Arial" w:cs="Arial"/>
          <w:bCs/>
          <w:iCs/>
          <w:sz w:val="28"/>
          <w:szCs w:val="28"/>
        </w:rPr>
        <w:t xml:space="preserve">1 General </w:t>
      </w:r>
      <w:r w:rsidR="00BE1C04">
        <w:rPr>
          <w:rFonts w:ascii="Arial" w:hAnsi="Arial" w:cs="Arial"/>
          <w:bCs/>
          <w:iCs/>
          <w:sz w:val="28"/>
          <w:szCs w:val="28"/>
        </w:rPr>
        <w:t>S</w:t>
      </w:r>
      <w:r w:rsidR="00C0248B" w:rsidRPr="00C0248B">
        <w:rPr>
          <w:rFonts w:ascii="Arial" w:hAnsi="Arial" w:cs="Arial"/>
          <w:bCs/>
          <w:iCs/>
          <w:sz w:val="28"/>
          <w:szCs w:val="28"/>
        </w:rPr>
        <w:t>pecification</w:t>
      </w:r>
    </w:p>
    <w:p w14:paraId="1D96D5D2" w14:textId="77777777" w:rsidR="00DC0C91" w:rsidRPr="00C5651B" w:rsidRDefault="00DC0C91" w:rsidP="00DC0C91">
      <w:pPr>
        <w:pStyle w:val="PlainText"/>
        <w:ind w:left="3600" w:firstLine="360"/>
        <w:jc w:val="center"/>
        <w:rPr>
          <w:rFonts w:ascii="Times New Roman" w:hAnsi="Times New Roman"/>
          <w:b/>
          <w:bCs/>
          <w:iCs/>
          <w:sz w:val="24"/>
          <w:szCs w:val="24"/>
        </w:rPr>
      </w:pPr>
    </w:p>
    <w:p w14:paraId="3E959468" w14:textId="77777777" w:rsidR="00DC0C91" w:rsidRDefault="00DC0C91" w:rsidP="00DC0C91">
      <w:pPr>
        <w:pStyle w:val="PlainText"/>
        <w:ind w:left="3600" w:firstLine="360"/>
        <w:jc w:val="center"/>
        <w:rPr>
          <w:rFonts w:ascii="Times New Roman" w:hAnsi="Times New Roman"/>
          <w:b/>
          <w:bCs/>
          <w:iCs/>
          <w:sz w:val="24"/>
          <w:szCs w:val="32"/>
        </w:rPr>
      </w:pPr>
    </w:p>
    <w:p w14:paraId="0B6B3FB0" w14:textId="77777777" w:rsidR="00DC0C91" w:rsidRDefault="00DC0C91" w:rsidP="00DC0C91">
      <w:pPr>
        <w:pStyle w:val="PlainText"/>
        <w:ind w:left="3600" w:firstLine="360"/>
        <w:jc w:val="center"/>
        <w:rPr>
          <w:rFonts w:ascii="Times New Roman" w:hAnsi="Times New Roman"/>
          <w:b/>
          <w:bCs/>
          <w:iCs/>
          <w:sz w:val="24"/>
          <w:szCs w:val="32"/>
        </w:rPr>
      </w:pPr>
    </w:p>
    <w:p w14:paraId="2C76F79D" w14:textId="77777777" w:rsidR="00DC0C91" w:rsidRDefault="00DC0C91" w:rsidP="00DC0C91">
      <w:pPr>
        <w:pStyle w:val="PlainText"/>
        <w:ind w:left="3600" w:firstLine="360"/>
        <w:jc w:val="center"/>
        <w:rPr>
          <w:rFonts w:ascii="Times New Roman" w:hAnsi="Times New Roman"/>
          <w:b/>
          <w:bCs/>
          <w:iCs/>
          <w:sz w:val="24"/>
          <w:szCs w:val="32"/>
        </w:rPr>
      </w:pPr>
    </w:p>
    <w:p w14:paraId="6B06101C" w14:textId="77777777" w:rsidR="00DC0C91" w:rsidRDefault="00DC0C91" w:rsidP="00DC0C91">
      <w:pPr>
        <w:pStyle w:val="PlainText"/>
        <w:ind w:left="3600" w:firstLine="360"/>
        <w:jc w:val="center"/>
        <w:rPr>
          <w:rFonts w:ascii="Times New Roman" w:hAnsi="Times New Roman"/>
          <w:b/>
          <w:bCs/>
          <w:iCs/>
          <w:sz w:val="24"/>
          <w:szCs w:val="32"/>
        </w:rPr>
      </w:pPr>
    </w:p>
    <w:p w14:paraId="62A4E659" w14:textId="77777777" w:rsidR="00DC0C91" w:rsidRDefault="00DC0C91" w:rsidP="00C0248B">
      <w:pPr>
        <w:pStyle w:val="PlainText"/>
        <w:ind w:left="3600" w:hanging="270"/>
        <w:jc w:val="center"/>
        <w:rPr>
          <w:rFonts w:ascii="Arial" w:eastAsia="PMingLiU" w:hAnsi="Arial" w:cs="Arial"/>
          <w:bCs/>
          <w:sz w:val="24"/>
          <w:szCs w:val="24"/>
          <w:lang w:eastAsia="zh-TW"/>
        </w:rPr>
      </w:pPr>
      <w:r w:rsidRPr="00B41A95">
        <w:rPr>
          <w:rFonts w:ascii="Arial" w:eastAsia="PMingLiU" w:hAnsi="Arial" w:cs="Arial"/>
          <w:bCs/>
          <w:sz w:val="24"/>
          <w:szCs w:val="24"/>
          <w:lang w:eastAsia="zh-TW"/>
        </w:rPr>
        <w:t xml:space="preserve">ICS </w:t>
      </w:r>
      <w:r w:rsidR="00C0248B">
        <w:rPr>
          <w:rFonts w:ascii="Arial" w:eastAsia="PMingLiU" w:hAnsi="Arial" w:cs="Arial"/>
          <w:bCs/>
          <w:sz w:val="24"/>
          <w:szCs w:val="24"/>
          <w:lang w:eastAsia="zh-TW"/>
        </w:rPr>
        <w:t>13.020.30</w:t>
      </w:r>
    </w:p>
    <w:p w14:paraId="6B25DEFD" w14:textId="77777777" w:rsidR="00DC0C91" w:rsidRDefault="00DC0C91" w:rsidP="00DC0C91">
      <w:pPr>
        <w:pStyle w:val="PlainText"/>
        <w:ind w:left="3600" w:firstLine="360"/>
        <w:jc w:val="center"/>
        <w:rPr>
          <w:rFonts w:ascii="Arial" w:eastAsia="PMingLiU" w:hAnsi="Arial" w:cs="Arial"/>
          <w:bCs/>
          <w:sz w:val="24"/>
          <w:szCs w:val="24"/>
          <w:lang w:eastAsia="zh-TW"/>
        </w:rPr>
      </w:pPr>
    </w:p>
    <w:p w14:paraId="26E87703" w14:textId="77777777" w:rsidR="00DC0C91" w:rsidRDefault="00DC0C91" w:rsidP="00DC0C91">
      <w:pPr>
        <w:pStyle w:val="PlainText"/>
        <w:ind w:left="3600" w:firstLine="360"/>
        <w:jc w:val="center"/>
        <w:rPr>
          <w:rFonts w:ascii="Arial" w:eastAsia="PMingLiU" w:hAnsi="Arial" w:cs="Arial"/>
          <w:bCs/>
          <w:sz w:val="24"/>
          <w:szCs w:val="24"/>
          <w:lang w:eastAsia="zh-TW"/>
        </w:rPr>
      </w:pPr>
    </w:p>
    <w:p w14:paraId="3F2A8588" w14:textId="77777777" w:rsidR="00DC0C91" w:rsidRDefault="00DC0C91" w:rsidP="00DC0C91">
      <w:pPr>
        <w:pStyle w:val="PlainText"/>
        <w:ind w:left="3600" w:firstLine="360"/>
        <w:jc w:val="center"/>
        <w:rPr>
          <w:rFonts w:ascii="Arial" w:eastAsia="PMingLiU" w:hAnsi="Arial" w:cs="Arial"/>
          <w:bCs/>
          <w:sz w:val="24"/>
          <w:szCs w:val="24"/>
          <w:lang w:eastAsia="zh-TW"/>
        </w:rPr>
      </w:pPr>
    </w:p>
    <w:p w14:paraId="5D518B45" w14:textId="77777777" w:rsidR="00DC0C91" w:rsidRDefault="00DC0C91" w:rsidP="00DC0C91">
      <w:pPr>
        <w:pStyle w:val="PlainText"/>
        <w:ind w:left="3600" w:firstLine="360"/>
        <w:jc w:val="center"/>
        <w:rPr>
          <w:rFonts w:ascii="Arial" w:eastAsia="PMingLiU" w:hAnsi="Arial" w:cs="Arial"/>
          <w:bCs/>
          <w:sz w:val="24"/>
          <w:szCs w:val="24"/>
          <w:lang w:eastAsia="zh-TW"/>
        </w:rPr>
      </w:pPr>
    </w:p>
    <w:p w14:paraId="1C58C03E" w14:textId="77777777" w:rsidR="00C5651B" w:rsidRDefault="00C5651B" w:rsidP="00DC0C91">
      <w:pPr>
        <w:pStyle w:val="PlainText"/>
        <w:ind w:left="3600" w:firstLine="360"/>
        <w:jc w:val="center"/>
        <w:rPr>
          <w:rFonts w:ascii="Arial" w:eastAsia="PMingLiU" w:hAnsi="Arial" w:cs="Arial"/>
          <w:bCs/>
          <w:sz w:val="24"/>
          <w:szCs w:val="24"/>
          <w:lang w:eastAsia="zh-TW"/>
        </w:rPr>
      </w:pPr>
    </w:p>
    <w:p w14:paraId="13D3CCC3" w14:textId="77777777" w:rsidR="00DC0C91" w:rsidRDefault="00DC0C91" w:rsidP="00DC0C91">
      <w:pPr>
        <w:pStyle w:val="PlainText"/>
        <w:ind w:left="3600" w:hanging="270"/>
        <w:rPr>
          <w:rFonts w:ascii="Arial" w:hAnsi="Arial" w:cs="Arial"/>
          <w:sz w:val="24"/>
          <w:szCs w:val="24"/>
        </w:rPr>
      </w:pPr>
      <w:r>
        <w:rPr>
          <w:rFonts w:ascii="Arial" w:hAnsi="Arial" w:cs="Arial"/>
          <w:sz w:val="24"/>
          <w:szCs w:val="24"/>
        </w:rPr>
        <w:t xml:space="preserve">                                  </w:t>
      </w: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3F631E32" w14:textId="77777777" w:rsidR="00DC0C91" w:rsidRDefault="00DC0C91" w:rsidP="00DC0C91">
      <w:pPr>
        <w:ind w:left="3330" w:hanging="270"/>
        <w:jc w:val="center"/>
        <w:rPr>
          <w:rFonts w:ascii="Arial" w:hAnsi="Arial" w:cs="Arial"/>
        </w:rPr>
      </w:pPr>
      <w:r>
        <w:rPr>
          <w:rFonts w:ascii="Arial" w:hAnsi="Arial" w:cs="Arial"/>
        </w:rPr>
        <w:t xml:space="preserve"> </w:t>
      </w:r>
      <w:r w:rsidRPr="004E2754">
        <w:rPr>
          <w:rFonts w:ascii="Arial" w:hAnsi="Arial" w:cs="Arial"/>
        </w:rPr>
        <w:sym w:font="Symbol" w:char="00D3"/>
      </w:r>
      <w:r w:rsidRPr="004E2754">
        <w:rPr>
          <w:rFonts w:ascii="Arial" w:hAnsi="Arial" w:cs="Arial"/>
        </w:rPr>
        <w:t xml:space="preserve"> </w:t>
      </w:r>
      <w:r>
        <w:rPr>
          <w:rFonts w:ascii="Arial" w:hAnsi="Arial" w:cs="Arial"/>
        </w:rPr>
        <w:t>IEC</w:t>
      </w:r>
      <w:r w:rsidRPr="004E2754">
        <w:rPr>
          <w:rFonts w:ascii="Arial" w:hAnsi="Arial" w:cs="Arial"/>
        </w:rPr>
        <w:t xml:space="preserve"> 20</w:t>
      </w:r>
      <w:r w:rsidR="00DA50A0">
        <w:rPr>
          <w:rFonts w:ascii="Arial" w:hAnsi="Arial" w:cs="Arial"/>
        </w:rPr>
        <w:t>18</w:t>
      </w:r>
    </w:p>
    <w:p w14:paraId="588A3755" w14:textId="77777777" w:rsidR="00DC0C91" w:rsidRPr="00CF4653" w:rsidRDefault="00DC0C91" w:rsidP="00DC0C91">
      <w:pPr>
        <w:spacing w:after="120"/>
        <w:ind w:left="2790"/>
        <w:jc w:val="center"/>
        <w:rPr>
          <w:rFonts w:ascii="Arial" w:hAnsi="Arial" w:cs="Arial"/>
        </w:rPr>
      </w:pPr>
      <w:r>
        <w:rPr>
          <w:rFonts w:ascii="Arial" w:hAnsi="Arial" w:cs="Arial"/>
        </w:rPr>
        <w:t xml:space="preserve">      </w:t>
      </w:r>
      <w:r>
        <w:rPr>
          <w:noProof/>
        </w:rPr>
        <w:drawing>
          <wp:inline distT="0" distB="0" distL="0" distR="0" wp14:anchorId="2A16CC70" wp14:editId="47ADA760">
            <wp:extent cx="419100" cy="4476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47675"/>
                    </a:xfrm>
                    <a:prstGeom prst="rect">
                      <a:avLst/>
                    </a:prstGeom>
                    <a:noFill/>
                    <a:ln>
                      <a:noFill/>
                    </a:ln>
                  </pic:spPr>
                </pic:pic>
              </a:graphicData>
            </a:graphic>
          </wp:inline>
        </w:drawing>
      </w:r>
      <w:r>
        <w:rPr>
          <w:rFonts w:ascii="Arial" w:hAnsi="Arial" w:cs="Arial"/>
        </w:rPr>
        <w:t xml:space="preserve">    </w:t>
      </w:r>
    </w:p>
    <w:p w14:paraId="4979A98B" w14:textId="77777777" w:rsidR="00DC0C91" w:rsidRPr="00CF4653" w:rsidRDefault="00DC0C91" w:rsidP="00DC0C91">
      <w:pPr>
        <w:tabs>
          <w:tab w:val="left" w:pos="2880"/>
        </w:tabs>
        <w:ind w:left="2790"/>
        <w:jc w:val="center"/>
        <w:rPr>
          <w:rFonts w:ascii="Arial" w:hAnsi="Arial" w:cs="Arial"/>
        </w:rPr>
      </w:pPr>
      <w:r>
        <w:rPr>
          <w:rFonts w:ascii="Arial" w:hAnsi="Arial" w:cs="Arial"/>
          <w:noProof/>
          <w:position w:val="-1"/>
          <w:sz w:val="10"/>
        </w:rPr>
        <mc:AlternateContent>
          <mc:Choice Requires="wpg">
            <w:drawing>
              <wp:inline distT="0" distB="0" distL="0" distR="0" wp14:anchorId="6BFADAAD" wp14:editId="11A3FFA8">
                <wp:extent cx="4187825" cy="63500"/>
                <wp:effectExtent l="9525" t="2540" r="12700" b="635"/>
                <wp:docPr id="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7825" cy="63500"/>
                          <a:chOff x="0" y="0"/>
                          <a:chExt cx="6347" cy="100"/>
                        </a:xfrm>
                      </wpg:grpSpPr>
                      <wps:wsp>
                        <wps:cNvPr id="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ACF4FE" id="Group 16" o:spid="_x0000_s1026" style="width:329.7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14:paraId="5B6A2863" w14:textId="77777777" w:rsidR="00DC0C91" w:rsidRPr="0044431E" w:rsidRDefault="00DC0C91" w:rsidP="00DC0C91">
      <w:pPr>
        <w:tabs>
          <w:tab w:val="left" w:pos="6735"/>
        </w:tabs>
        <w:ind w:left="2790"/>
        <w:jc w:val="both"/>
        <w:rPr>
          <w:rFonts w:ascii="Arial" w:hAnsi="Arial" w:cs="Arial"/>
          <w:sz w:val="10"/>
          <w:szCs w:val="18"/>
        </w:rPr>
      </w:pPr>
      <w:r>
        <w:rPr>
          <w:rFonts w:ascii="Arial" w:hAnsi="Arial" w:cs="Arial"/>
          <w:sz w:val="18"/>
          <w:szCs w:val="18"/>
        </w:rPr>
        <w:tab/>
      </w:r>
    </w:p>
    <w:p w14:paraId="129C5794" w14:textId="77777777" w:rsidR="00DC0C91" w:rsidRPr="00D326C7" w:rsidRDefault="00000000" w:rsidP="00DC0C91">
      <w:pPr>
        <w:ind w:left="3600"/>
        <w:rPr>
          <w:rFonts w:ascii="Kokila" w:hAnsi="Kokila" w:cs="Kokila"/>
          <w:b/>
          <w:bCs/>
          <w:caps/>
          <w:sz w:val="28"/>
          <w:szCs w:val="28"/>
        </w:rPr>
      </w:pPr>
      <w:r>
        <w:rPr>
          <w:rFonts w:ascii="Kokila" w:hAnsi="Kokila" w:cs="Kokila"/>
          <w:sz w:val="36"/>
          <w:szCs w:val="36"/>
        </w:rPr>
        <w:object w:dxaOrig="1440" w:dyaOrig="1440" w14:anchorId="5B939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2.5pt;margin-top:3.5pt;width:59.7pt;height:59.7pt;z-index:251658240" o:allowincell="f">
            <v:imagedata r:id="rId9" o:title=""/>
          </v:shape>
          <o:OLEObject Type="Embed" ProgID="MSPhotoEd.3" ShapeID="_x0000_s1026" DrawAspect="Content" ObjectID="_1795959671" r:id="rId10"/>
        </w:object>
      </w:r>
      <w:r w:rsidR="00DC0C91">
        <w:rPr>
          <w:rFonts w:ascii="Kokila" w:hAnsi="Kokila" w:cs="Kokila"/>
          <w:caps/>
          <w:sz w:val="36"/>
          <w:szCs w:val="36"/>
          <w:lang w:bidi="hi-IN"/>
        </w:rPr>
        <w:t xml:space="preserve">                               </w:t>
      </w:r>
      <w:r w:rsidR="00DC0C91" w:rsidRPr="00D326C7">
        <w:rPr>
          <w:rFonts w:ascii="Kokila" w:hAnsi="Kokila" w:cs="Kokila"/>
          <w:caps/>
          <w:sz w:val="28"/>
          <w:szCs w:val="28"/>
          <w:cs/>
          <w:lang w:bidi="hi-IN"/>
        </w:rPr>
        <w:t>भारतीय मानक ब्यूरो</w:t>
      </w:r>
    </w:p>
    <w:p w14:paraId="12D874AD" w14:textId="77777777" w:rsidR="00DC0C91" w:rsidRPr="00CF4653" w:rsidRDefault="00DC0C91" w:rsidP="00DC0C91">
      <w:pPr>
        <w:autoSpaceDE w:val="0"/>
        <w:autoSpaceDN w:val="0"/>
        <w:adjustRightInd w:val="0"/>
        <w:ind w:left="3600"/>
        <w:jc w:val="center"/>
        <w:rPr>
          <w:rFonts w:ascii="Arial" w:hAnsi="Arial" w:cs="Arial"/>
          <w:bCs/>
          <w:color w:val="231F20"/>
          <w:spacing w:val="22"/>
          <w:lang w:bidi="hi-IN"/>
        </w:rPr>
      </w:pPr>
      <w:r w:rsidRPr="00CF4653">
        <w:rPr>
          <w:rFonts w:ascii="Arial" w:hAnsi="Arial" w:cs="Arial"/>
          <w:bCs/>
          <w:color w:val="231F20"/>
          <w:spacing w:val="22"/>
        </w:rPr>
        <w:t>BUREAU OF INDIAN STANDARDS</w:t>
      </w:r>
    </w:p>
    <w:p w14:paraId="1500D543" w14:textId="77777777" w:rsidR="00DC0C91" w:rsidRPr="00332032" w:rsidRDefault="00DC0C91" w:rsidP="00DC0C91">
      <w:pPr>
        <w:ind w:left="3600"/>
        <w:jc w:val="center"/>
        <w:rPr>
          <w:rFonts w:ascii="Kokila" w:hAnsi="Kokila" w:cs="Kokila"/>
          <w:b/>
          <w:bCs/>
          <w:color w:val="231F20"/>
          <w:spacing w:val="22"/>
        </w:rPr>
      </w:pPr>
      <w:r w:rsidRPr="00332032">
        <w:rPr>
          <w:rFonts w:ascii="Kokila" w:hAnsi="Kokila" w:cs="Kokila"/>
          <w:caps/>
          <w:lang w:bidi="hi-IN"/>
        </w:rPr>
        <w:t xml:space="preserve"> </w:t>
      </w:r>
      <w:r w:rsidRPr="00332032">
        <w:rPr>
          <w:rFonts w:ascii="Kokila" w:hAnsi="Kokila" w:cs="Kokila"/>
          <w:caps/>
          <w:cs/>
          <w:lang w:bidi="hi-IN"/>
        </w:rPr>
        <w:t>मानक भवन</w:t>
      </w:r>
      <w:r w:rsidRPr="00332032">
        <w:rPr>
          <w:rFonts w:ascii="Kokila" w:hAnsi="Kokila" w:cs="Kokila"/>
          <w:caps/>
        </w:rPr>
        <w:t xml:space="preserve">, 9 </w:t>
      </w:r>
      <w:r w:rsidRPr="00332032">
        <w:rPr>
          <w:rFonts w:ascii="Kokila" w:hAnsi="Kokila" w:cs="Kokila"/>
          <w:caps/>
          <w:cs/>
          <w:lang w:bidi="hi-IN"/>
        </w:rPr>
        <w:t>बहादुर शाह ज़फर मार्ग</w:t>
      </w:r>
      <w:r w:rsidRPr="00332032">
        <w:rPr>
          <w:rFonts w:ascii="Kokila" w:hAnsi="Kokila" w:cs="Kokila"/>
          <w:caps/>
        </w:rPr>
        <w:t xml:space="preserve">, </w:t>
      </w:r>
      <w:r w:rsidRPr="00332032">
        <w:rPr>
          <w:rFonts w:ascii="Kokila" w:hAnsi="Kokila" w:cs="Kokila"/>
          <w:caps/>
          <w:cs/>
          <w:lang w:bidi="hi-IN"/>
        </w:rPr>
        <w:t>नई दिल्ली -</w:t>
      </w:r>
      <w:r w:rsidRPr="00332032">
        <w:rPr>
          <w:rFonts w:ascii="Kokila" w:hAnsi="Kokila" w:cs="Kokila"/>
          <w:caps/>
          <w:rtl/>
        </w:rPr>
        <w:t xml:space="preserve"> </w:t>
      </w:r>
      <w:r w:rsidRPr="00332032">
        <w:rPr>
          <w:rFonts w:ascii="Kokila" w:hAnsi="Kokila" w:cs="Kokila"/>
          <w:bCs/>
          <w:caps/>
        </w:rPr>
        <w:t>110002</w:t>
      </w:r>
    </w:p>
    <w:p w14:paraId="5C021898" w14:textId="77777777" w:rsidR="00DC0C91" w:rsidRPr="00FC6B50" w:rsidRDefault="00DC0C91" w:rsidP="00DC0C91">
      <w:pPr>
        <w:tabs>
          <w:tab w:val="left" w:pos="3119"/>
          <w:tab w:val="left" w:pos="3828"/>
          <w:tab w:val="left" w:pos="4253"/>
        </w:tabs>
        <w:autoSpaceDE w:val="0"/>
        <w:autoSpaceDN w:val="0"/>
        <w:adjustRightInd w:val="0"/>
        <w:ind w:left="3600"/>
        <w:jc w:val="center"/>
        <w:rPr>
          <w:rFonts w:ascii="Arial" w:hAnsi="Arial" w:cs="Arial"/>
          <w:color w:val="231F20"/>
          <w:sz w:val="20"/>
          <w:szCs w:val="20"/>
        </w:rPr>
      </w:pPr>
      <w:r w:rsidRPr="00FC6B50">
        <w:rPr>
          <w:rFonts w:ascii="Arial" w:hAnsi="Arial" w:cs="Arial"/>
          <w:color w:val="231F20"/>
          <w:sz w:val="20"/>
          <w:szCs w:val="20"/>
        </w:rPr>
        <w:t>MANAK BHA</w:t>
      </w:r>
      <w:r w:rsidRPr="00FC6B50">
        <w:rPr>
          <w:rFonts w:ascii="Arial" w:hAnsi="Arial" w:cs="Arial"/>
          <w:color w:val="231F20"/>
          <w:sz w:val="20"/>
          <w:szCs w:val="20"/>
          <w:lang w:bidi="hi-IN"/>
        </w:rPr>
        <w:t>V</w:t>
      </w:r>
      <w:r w:rsidRPr="00FC6B50">
        <w:rPr>
          <w:rFonts w:ascii="Arial" w:hAnsi="Arial" w:cs="Arial"/>
          <w:color w:val="231F20"/>
          <w:sz w:val="20"/>
          <w:szCs w:val="20"/>
        </w:rPr>
        <w:t>AN, 9 BAHADUR SHAH ZAFAR MARG</w:t>
      </w:r>
    </w:p>
    <w:p w14:paraId="57767455" w14:textId="77777777" w:rsidR="00DC0C91" w:rsidRPr="00FC6B50" w:rsidRDefault="00DC0C91" w:rsidP="00DC0C91">
      <w:pPr>
        <w:tabs>
          <w:tab w:val="left" w:pos="3119"/>
          <w:tab w:val="left" w:pos="3828"/>
          <w:tab w:val="left" w:pos="4253"/>
        </w:tabs>
        <w:autoSpaceDE w:val="0"/>
        <w:autoSpaceDN w:val="0"/>
        <w:adjustRightInd w:val="0"/>
        <w:ind w:left="3600"/>
        <w:jc w:val="center"/>
        <w:rPr>
          <w:rFonts w:ascii="Arial" w:hAnsi="Arial" w:cs="Arial"/>
          <w:color w:val="231F20"/>
          <w:sz w:val="20"/>
          <w:szCs w:val="20"/>
        </w:rPr>
      </w:pPr>
      <w:r w:rsidRPr="00FC6B50">
        <w:rPr>
          <w:rFonts w:ascii="Arial" w:hAnsi="Arial" w:cs="Arial"/>
          <w:color w:val="231F20"/>
          <w:sz w:val="20"/>
          <w:szCs w:val="20"/>
        </w:rPr>
        <w:t>NEW DELHI - 110002</w:t>
      </w:r>
    </w:p>
    <w:p w14:paraId="7659B70B" w14:textId="77777777" w:rsidR="00DC0C91" w:rsidRPr="002D127D" w:rsidRDefault="00DC0C91" w:rsidP="00DC0C91">
      <w:pPr>
        <w:tabs>
          <w:tab w:val="left" w:pos="270"/>
          <w:tab w:val="left" w:pos="3780"/>
          <w:tab w:val="left" w:pos="3960"/>
        </w:tabs>
        <w:rPr>
          <w:rFonts w:ascii="Arial" w:hAnsi="Arial" w:cs="Arial"/>
          <w:sz w:val="18"/>
        </w:rPr>
      </w:pPr>
      <w:r w:rsidRPr="00BC2D48">
        <w:rPr>
          <w:rStyle w:val="Hyperlink"/>
          <w:rFonts w:ascii="Arial" w:hAnsi="Arial" w:cs="Arial"/>
          <w:sz w:val="22"/>
          <w:u w:val="none"/>
        </w:rPr>
        <w:t xml:space="preserve">                                                     </w:t>
      </w:r>
      <w:r>
        <w:rPr>
          <w:rStyle w:val="Hyperlink"/>
          <w:rFonts w:ascii="Arial" w:hAnsi="Arial" w:cs="Arial"/>
          <w:sz w:val="22"/>
          <w:u w:val="none"/>
        </w:rPr>
        <w:t xml:space="preserve">                </w:t>
      </w:r>
      <w:hyperlink r:id="rId11" w:history="1">
        <w:r w:rsidRPr="00BC2D48">
          <w:rPr>
            <w:rStyle w:val="Hyperlink"/>
            <w:rFonts w:ascii="Arial" w:hAnsi="Arial" w:cs="Arial"/>
            <w:sz w:val="22"/>
          </w:rPr>
          <w:t>www.bis.gov.in</w:t>
        </w:r>
      </w:hyperlink>
      <w:r w:rsidRPr="00FC6B50">
        <w:rPr>
          <w:rFonts w:ascii="Arial" w:hAnsi="Arial" w:cs="Arial"/>
          <w:sz w:val="18"/>
        </w:rPr>
        <w:t xml:space="preserve">    </w:t>
      </w:r>
      <w:r>
        <w:rPr>
          <w:rFonts w:ascii="Arial" w:hAnsi="Arial" w:cs="Arial"/>
          <w:sz w:val="18"/>
        </w:rPr>
        <w:t xml:space="preserve">                             </w:t>
      </w:r>
      <w:hyperlink r:id="rId12" w:history="1">
        <w:r w:rsidRPr="00FC6B50">
          <w:rPr>
            <w:rStyle w:val="Hyperlink"/>
            <w:rFonts w:ascii="Arial" w:hAnsi="Arial" w:cs="Arial"/>
            <w:sz w:val="22"/>
          </w:rPr>
          <w:t>www.standardsbis.in</w:t>
        </w:r>
      </w:hyperlink>
    </w:p>
    <w:p w14:paraId="6AD01CDA" w14:textId="77777777" w:rsidR="00DC0C91" w:rsidRDefault="00DC0C91" w:rsidP="00DC0C91">
      <w:pPr>
        <w:ind w:right="-423"/>
        <w:rPr>
          <w:rFonts w:ascii="Arial" w:hAnsi="Arial" w:cs="Arial"/>
        </w:rPr>
      </w:pPr>
    </w:p>
    <w:p w14:paraId="4CEFBAC6" w14:textId="77777777" w:rsidR="00D9561A" w:rsidRDefault="00DC0C91" w:rsidP="00D9561A">
      <w:pPr>
        <w:ind w:right="-423"/>
        <w:rPr>
          <w:rFonts w:ascii="Arial" w:hAnsi="Arial" w:cs="Arial"/>
          <w:b/>
          <w:bCs/>
        </w:rPr>
      </w:pPr>
      <w:r>
        <w:rPr>
          <w:rFonts w:ascii="Arial" w:hAnsi="Arial" w:cs="Arial"/>
        </w:rPr>
        <w:t xml:space="preserve">                                              </w:t>
      </w:r>
      <w:r>
        <w:rPr>
          <w:rFonts w:ascii="Arial" w:hAnsi="Arial" w:cs="Arial"/>
          <w:b/>
          <w:bCs/>
          <w:iCs/>
        </w:rPr>
        <w:t xml:space="preserve">December </w:t>
      </w:r>
      <w:r w:rsidRPr="00CF4653">
        <w:rPr>
          <w:rFonts w:ascii="Arial" w:hAnsi="Arial" w:cs="Arial"/>
          <w:b/>
          <w:bCs/>
        </w:rPr>
        <w:t>202</w:t>
      </w:r>
      <w:r>
        <w:rPr>
          <w:rFonts w:ascii="Arial" w:hAnsi="Arial" w:cs="Arial"/>
          <w:b/>
          <w:bCs/>
        </w:rPr>
        <w:t xml:space="preserve">4                                               </w:t>
      </w:r>
      <w:r w:rsidR="008670C5">
        <w:rPr>
          <w:rFonts w:ascii="Arial" w:hAnsi="Arial" w:cs="Arial"/>
          <w:b/>
          <w:bCs/>
        </w:rPr>
        <w:t>P</w:t>
      </w:r>
      <w:r>
        <w:rPr>
          <w:rFonts w:ascii="Arial" w:hAnsi="Arial" w:cs="Arial"/>
          <w:b/>
          <w:bCs/>
        </w:rPr>
        <w:t>rice Group X</w:t>
      </w:r>
    </w:p>
    <w:p w14:paraId="23DD2735" w14:textId="77777777" w:rsidR="007E4008" w:rsidRPr="00D9561A" w:rsidRDefault="000E19A2" w:rsidP="00831964">
      <w:pPr>
        <w:rPr>
          <w:rFonts w:ascii="Arial" w:hAnsi="Arial" w:cs="Arial"/>
          <w:b/>
          <w:bCs/>
        </w:rPr>
      </w:pPr>
      <w:r w:rsidRPr="00DC0C91">
        <w:lastRenderedPageBreak/>
        <w:t>Electrical Energy Storage Systems</w:t>
      </w:r>
      <w:r w:rsidR="00DC0C91" w:rsidRPr="00DC0C91">
        <w:t xml:space="preserve"> </w:t>
      </w:r>
      <w:r w:rsidR="007E4008" w:rsidRPr="00DC0C91">
        <w:t>S</w:t>
      </w:r>
      <w:r w:rsidR="00DC0C91" w:rsidRPr="00DC0C91">
        <w:t xml:space="preserve">ectional Committee, </w:t>
      </w:r>
      <w:r w:rsidRPr="00DC0C91">
        <w:t>ETD 52</w:t>
      </w:r>
    </w:p>
    <w:p w14:paraId="7635D798" w14:textId="77777777" w:rsidR="00DC0C91" w:rsidRDefault="00DC0C91" w:rsidP="00831964">
      <w:pPr>
        <w:jc w:val="both"/>
        <w:rPr>
          <w:bCs/>
        </w:rPr>
      </w:pPr>
    </w:p>
    <w:p w14:paraId="0A9CDD08" w14:textId="77777777" w:rsidR="00A20CC8" w:rsidRPr="00BC0258" w:rsidRDefault="00A20CC8" w:rsidP="00831964">
      <w:pPr>
        <w:jc w:val="both"/>
        <w:rPr>
          <w:bCs/>
        </w:rPr>
      </w:pPr>
      <w:r w:rsidRPr="00BC0258">
        <w:rPr>
          <w:bCs/>
        </w:rPr>
        <w:t>NATIONAL FOREWORD</w:t>
      </w:r>
    </w:p>
    <w:p w14:paraId="3ED8244B" w14:textId="77777777" w:rsidR="00A20CC8" w:rsidRPr="00A20CC8" w:rsidRDefault="00A20CC8" w:rsidP="00831964">
      <w:pPr>
        <w:jc w:val="both"/>
        <w:rPr>
          <w:sz w:val="16"/>
          <w:szCs w:val="16"/>
        </w:rPr>
      </w:pPr>
      <w:r w:rsidRPr="00A20CC8">
        <w:t xml:space="preserve"> </w:t>
      </w:r>
    </w:p>
    <w:p w14:paraId="04F5276B" w14:textId="77777777" w:rsidR="00A20CC8" w:rsidRPr="007E4008" w:rsidRDefault="00A20CC8" w:rsidP="00831964">
      <w:pPr>
        <w:jc w:val="both"/>
        <w:rPr>
          <w:bCs/>
        </w:rPr>
      </w:pPr>
      <w:r w:rsidRPr="00F6459A">
        <w:t>This</w:t>
      </w:r>
      <w:r w:rsidR="00F151A3">
        <w:t xml:space="preserve"> </w:t>
      </w:r>
      <w:r w:rsidRPr="00F6459A">
        <w:t>Indian Standard</w:t>
      </w:r>
      <w:r w:rsidR="00DB6B24" w:rsidRPr="00F6459A">
        <w:t xml:space="preserve"> </w:t>
      </w:r>
      <w:r w:rsidR="00727D2D">
        <w:t xml:space="preserve">(Part 3 / Sec 1) </w:t>
      </w:r>
      <w:r w:rsidR="005E1331" w:rsidRPr="00F6459A">
        <w:t xml:space="preserve">which is identical </w:t>
      </w:r>
      <w:r w:rsidR="007E4008" w:rsidRPr="00F6459A">
        <w:t>with</w:t>
      </w:r>
      <w:r w:rsidR="007E4008">
        <w:rPr>
          <w:b/>
          <w:bCs/>
        </w:rPr>
        <w:t xml:space="preserve"> </w:t>
      </w:r>
      <w:r w:rsidR="007E4008" w:rsidRPr="00E86671">
        <w:rPr>
          <w:bCs/>
        </w:rPr>
        <w:t>IEC 6</w:t>
      </w:r>
      <w:r w:rsidR="001A6C92">
        <w:rPr>
          <w:bCs/>
        </w:rPr>
        <w:t>2</w:t>
      </w:r>
      <w:r w:rsidR="002C5EE7" w:rsidRPr="00E86671">
        <w:rPr>
          <w:bCs/>
        </w:rPr>
        <w:t>9</w:t>
      </w:r>
      <w:r w:rsidR="00E86671" w:rsidRPr="00E86671">
        <w:rPr>
          <w:bCs/>
        </w:rPr>
        <w:t>33</w:t>
      </w:r>
      <w:r w:rsidR="002C5EE7" w:rsidRPr="00E86671">
        <w:rPr>
          <w:bCs/>
        </w:rPr>
        <w:t>-</w:t>
      </w:r>
      <w:r w:rsidR="00E86671" w:rsidRPr="00E86671">
        <w:rPr>
          <w:bCs/>
        </w:rPr>
        <w:t>3-1</w:t>
      </w:r>
      <w:r w:rsidR="002C5EE7" w:rsidRPr="00E86671">
        <w:rPr>
          <w:bCs/>
        </w:rPr>
        <w:t>:</w:t>
      </w:r>
      <w:r w:rsidR="00E86671" w:rsidRPr="00E86671">
        <w:rPr>
          <w:bCs/>
        </w:rPr>
        <w:t xml:space="preserve"> </w:t>
      </w:r>
      <w:r w:rsidR="002C5EE7" w:rsidRPr="00E86671">
        <w:rPr>
          <w:bCs/>
        </w:rPr>
        <w:t>201</w:t>
      </w:r>
      <w:r w:rsidR="00E86671" w:rsidRPr="00E86671">
        <w:rPr>
          <w:bCs/>
        </w:rPr>
        <w:t>8</w:t>
      </w:r>
      <w:r w:rsidR="00A101C5" w:rsidRPr="007E4008">
        <w:t xml:space="preserve"> </w:t>
      </w:r>
      <w:r w:rsidRPr="007E4008">
        <w:t>‘</w:t>
      </w:r>
      <w:r w:rsidR="00E86671" w:rsidRPr="00E86671">
        <w:rPr>
          <w:bCs/>
        </w:rPr>
        <w:t>Electrical energy st</w:t>
      </w:r>
      <w:r w:rsidR="00217F96">
        <w:rPr>
          <w:bCs/>
        </w:rPr>
        <w:t xml:space="preserve">orage (EES) systems - Part 3 </w:t>
      </w:r>
      <w:r w:rsidR="00E86671" w:rsidRPr="00E86671">
        <w:rPr>
          <w:bCs/>
        </w:rPr>
        <w:t>Planning and performance assessment of elec</w:t>
      </w:r>
      <w:r w:rsidR="00217F96">
        <w:rPr>
          <w:bCs/>
        </w:rPr>
        <w:t xml:space="preserve">trical energy storage systems Section 1 </w:t>
      </w:r>
      <w:r w:rsidR="00E86671" w:rsidRPr="00E86671">
        <w:rPr>
          <w:bCs/>
        </w:rPr>
        <w:t>General specification</w:t>
      </w:r>
      <w:r w:rsidR="00BF25B4">
        <w:rPr>
          <w:bCs/>
        </w:rPr>
        <w:t>’</w:t>
      </w:r>
      <w:r w:rsidR="00BF25B4" w:rsidRPr="00F6459A">
        <w:t xml:space="preserve"> </w:t>
      </w:r>
      <w:r w:rsidRPr="00F6459A">
        <w:t>issued by the International Ele</w:t>
      </w:r>
      <w:r w:rsidR="004F2D26" w:rsidRPr="00F6459A">
        <w:t xml:space="preserve">ctrotechnical Commission (IEC) </w:t>
      </w:r>
      <w:r w:rsidRPr="00F6459A">
        <w:t>w</w:t>
      </w:r>
      <w:r w:rsidR="00F151A3">
        <w:t xml:space="preserve">as </w:t>
      </w:r>
      <w:r w:rsidRPr="00F6459A">
        <w:t xml:space="preserve">adopted by the Bureau of Indian Standards on the recommendation </w:t>
      </w:r>
      <w:r w:rsidRPr="00463AB3">
        <w:rPr>
          <w:bCs/>
        </w:rPr>
        <w:t xml:space="preserve">of </w:t>
      </w:r>
      <w:r w:rsidR="00463AB3" w:rsidRPr="00463AB3">
        <w:rPr>
          <w:bCs/>
        </w:rPr>
        <w:t xml:space="preserve">the Electrical </w:t>
      </w:r>
      <w:r w:rsidR="00463AB3">
        <w:rPr>
          <w:bCs/>
        </w:rPr>
        <w:t xml:space="preserve">Energy </w:t>
      </w:r>
      <w:r w:rsidR="00463AB3" w:rsidRPr="00463AB3">
        <w:rPr>
          <w:bCs/>
        </w:rPr>
        <w:t>Storage</w:t>
      </w:r>
      <w:r w:rsidR="00463AB3">
        <w:rPr>
          <w:b/>
          <w:i/>
          <w:color w:val="212529"/>
        </w:rPr>
        <w:t xml:space="preserve"> </w:t>
      </w:r>
      <w:r w:rsidR="00463AB3" w:rsidRPr="00463AB3">
        <w:rPr>
          <w:bCs/>
        </w:rPr>
        <w:t xml:space="preserve">Systems </w:t>
      </w:r>
      <w:r w:rsidR="00B11678" w:rsidRPr="00463AB3">
        <w:rPr>
          <w:bCs/>
        </w:rPr>
        <w:t>Sectional</w:t>
      </w:r>
      <w:r w:rsidR="000A7D34" w:rsidRPr="00E86671">
        <w:t xml:space="preserve"> Committee</w:t>
      </w:r>
      <w:r w:rsidR="004F711E" w:rsidRPr="00F6459A">
        <w:t xml:space="preserve"> </w:t>
      </w:r>
      <w:r w:rsidRPr="00F6459A">
        <w:t>and approval of the Electrotechnical Division Council.</w:t>
      </w:r>
    </w:p>
    <w:p w14:paraId="4BF5E300" w14:textId="77777777" w:rsidR="001B2350" w:rsidRDefault="001B2350" w:rsidP="00831964">
      <w:pPr>
        <w:jc w:val="both"/>
      </w:pPr>
    </w:p>
    <w:p w14:paraId="33125A82" w14:textId="77777777" w:rsidR="00453595" w:rsidRDefault="00453595" w:rsidP="00831964">
      <w:pPr>
        <w:jc w:val="both"/>
      </w:pPr>
      <w:r w:rsidRPr="002E11B2">
        <w:t>This standard is published in various parts. Other parts in this series are:</w:t>
      </w:r>
    </w:p>
    <w:p w14:paraId="6226E918" w14:textId="77777777" w:rsidR="00453595" w:rsidRDefault="00453595" w:rsidP="00453595">
      <w:pPr>
        <w:jc w:val="both"/>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650"/>
      </w:tblGrid>
      <w:tr w:rsidR="00453595" w14:paraId="363B55D4" w14:textId="77777777" w:rsidTr="00831964">
        <w:tc>
          <w:tcPr>
            <w:tcW w:w="1710" w:type="dxa"/>
          </w:tcPr>
          <w:p w14:paraId="09C91C95" w14:textId="77777777" w:rsidR="00453595" w:rsidRPr="003408D9" w:rsidRDefault="00453595" w:rsidP="00F77B50">
            <w:pPr>
              <w:jc w:val="both"/>
            </w:pPr>
            <w:r>
              <w:t>Part 1</w:t>
            </w:r>
          </w:p>
        </w:tc>
        <w:tc>
          <w:tcPr>
            <w:tcW w:w="7650" w:type="dxa"/>
          </w:tcPr>
          <w:p w14:paraId="035A31F6" w14:textId="77777777" w:rsidR="00453595" w:rsidRDefault="00D52961" w:rsidP="00D11C4F">
            <w:pPr>
              <w:jc w:val="both"/>
            </w:pPr>
            <w:r>
              <w:t>V</w:t>
            </w:r>
            <w:r w:rsidR="00453595" w:rsidRPr="00E85C34">
              <w:t>ocabulary</w:t>
            </w:r>
          </w:p>
        </w:tc>
      </w:tr>
      <w:tr w:rsidR="00453595" w14:paraId="5EC94B1F" w14:textId="77777777" w:rsidTr="00831964">
        <w:tc>
          <w:tcPr>
            <w:tcW w:w="1710" w:type="dxa"/>
          </w:tcPr>
          <w:p w14:paraId="1D5866FB" w14:textId="77777777" w:rsidR="00453595" w:rsidRDefault="00453595" w:rsidP="00F77B50">
            <w:pPr>
              <w:jc w:val="both"/>
            </w:pPr>
            <w:r>
              <w:t>Part 2/Sec 1</w:t>
            </w:r>
          </w:p>
        </w:tc>
        <w:tc>
          <w:tcPr>
            <w:tcW w:w="7650" w:type="dxa"/>
          </w:tcPr>
          <w:p w14:paraId="6373712A" w14:textId="77777777" w:rsidR="00453595" w:rsidRDefault="00D52961" w:rsidP="00F77B50">
            <w:pPr>
              <w:jc w:val="both"/>
            </w:pPr>
            <w:r>
              <w:t>U</w:t>
            </w:r>
            <w:r w:rsidR="00453595" w:rsidRPr="00E85C34">
              <w:t xml:space="preserve">nit </w:t>
            </w:r>
            <w:r w:rsidR="00D11C4F">
              <w:t>parameters and testing methods s</w:t>
            </w:r>
            <w:r w:rsidR="00453595" w:rsidRPr="00E85C34">
              <w:t>ection 1 general specification</w:t>
            </w:r>
          </w:p>
        </w:tc>
      </w:tr>
      <w:tr w:rsidR="00453595" w14:paraId="236A61E4" w14:textId="77777777" w:rsidTr="00831964">
        <w:tc>
          <w:tcPr>
            <w:tcW w:w="1710" w:type="dxa"/>
          </w:tcPr>
          <w:p w14:paraId="6B53CF8F" w14:textId="77777777" w:rsidR="00453595" w:rsidRDefault="00453595" w:rsidP="00F77B50">
            <w:pPr>
              <w:jc w:val="both"/>
            </w:pPr>
            <w:r>
              <w:t>Part 4/Sec 1</w:t>
            </w:r>
          </w:p>
        </w:tc>
        <w:tc>
          <w:tcPr>
            <w:tcW w:w="7650" w:type="dxa"/>
          </w:tcPr>
          <w:p w14:paraId="094E7EFD" w14:textId="77777777" w:rsidR="00453595" w:rsidRDefault="00D52961" w:rsidP="00F77B50">
            <w:pPr>
              <w:jc w:val="both"/>
            </w:pPr>
            <w:r>
              <w:t>G</w:t>
            </w:r>
            <w:r w:rsidR="00453595" w:rsidRPr="00E85C34">
              <w:t xml:space="preserve">uidance on environmental issues </w:t>
            </w:r>
            <w:r w:rsidR="00D11C4F">
              <w:t>s</w:t>
            </w:r>
            <w:r w:rsidR="00453595" w:rsidRPr="00E85C34">
              <w:t>ection 1 general specification</w:t>
            </w:r>
          </w:p>
        </w:tc>
      </w:tr>
      <w:tr w:rsidR="00453595" w14:paraId="7189407A" w14:textId="77777777" w:rsidTr="00831964">
        <w:tc>
          <w:tcPr>
            <w:tcW w:w="1710" w:type="dxa"/>
          </w:tcPr>
          <w:p w14:paraId="433A2139" w14:textId="77777777" w:rsidR="00453595" w:rsidRDefault="00453595" w:rsidP="00F77B50">
            <w:pPr>
              <w:jc w:val="both"/>
            </w:pPr>
            <w:r w:rsidRPr="003408D9">
              <w:t>Part 5</w:t>
            </w:r>
            <w:r>
              <w:t>/Sec 2</w:t>
            </w:r>
          </w:p>
        </w:tc>
        <w:tc>
          <w:tcPr>
            <w:tcW w:w="7650" w:type="dxa"/>
          </w:tcPr>
          <w:p w14:paraId="281966CB" w14:textId="77777777" w:rsidR="00453595" w:rsidRDefault="00D52961" w:rsidP="00F77B50">
            <w:pPr>
              <w:jc w:val="both"/>
            </w:pPr>
            <w:r>
              <w:t>S</w:t>
            </w:r>
            <w:r w:rsidR="00453595" w:rsidRPr="00E85C34">
              <w:t>afety requirements f</w:t>
            </w:r>
            <w:r w:rsidR="00D11C4F">
              <w:t>or grid integrated EES systems s</w:t>
            </w:r>
            <w:r w:rsidR="00453595" w:rsidRPr="00E85C34">
              <w:t>ection 2 electrochemical based systems</w:t>
            </w:r>
          </w:p>
        </w:tc>
      </w:tr>
    </w:tbl>
    <w:p w14:paraId="397B7425" w14:textId="77777777" w:rsidR="00453595" w:rsidRDefault="00453595" w:rsidP="00D33A70">
      <w:pPr>
        <w:ind w:right="90"/>
        <w:jc w:val="both"/>
      </w:pPr>
    </w:p>
    <w:p w14:paraId="33E2C8F5" w14:textId="77777777" w:rsidR="00A20CC8" w:rsidRPr="00A20CC8" w:rsidRDefault="00A20CC8" w:rsidP="00831964">
      <w:pPr>
        <w:jc w:val="both"/>
      </w:pPr>
      <w:r w:rsidRPr="00A20CC8">
        <w:t>The text of the IEC Standard has been approved as suitable for publication as an Indian Standard without deviations. Certain conventions are, however, not identical to those used in Indian Standards.  Attention is particularly drawn to the following:</w:t>
      </w:r>
    </w:p>
    <w:p w14:paraId="1E442A02" w14:textId="77777777" w:rsidR="00CE355A" w:rsidRPr="00A20CC8" w:rsidRDefault="00CE355A" w:rsidP="00831964">
      <w:pPr>
        <w:jc w:val="both"/>
      </w:pPr>
    </w:p>
    <w:p w14:paraId="380C61BF" w14:textId="77777777" w:rsidR="00A20CC8" w:rsidRPr="00A20CC8" w:rsidRDefault="00A20CC8" w:rsidP="00831964">
      <w:pPr>
        <w:numPr>
          <w:ilvl w:val="0"/>
          <w:numId w:val="13"/>
        </w:numPr>
        <w:ind w:left="360"/>
        <w:jc w:val="both"/>
      </w:pPr>
      <w:r w:rsidRPr="00A20CC8">
        <w:t xml:space="preserve">Wherever the words ‘International Standard’ </w:t>
      </w:r>
      <w:r w:rsidR="000311F0" w:rsidRPr="00A20CC8">
        <w:t>appears</w:t>
      </w:r>
      <w:r w:rsidRPr="00A20CC8">
        <w:t xml:space="preserve"> referring to this standard, they should be read as ‘Indian Standard’.</w:t>
      </w:r>
    </w:p>
    <w:p w14:paraId="4E0EC01E" w14:textId="77777777" w:rsidR="00A20CC8" w:rsidRPr="00A20CC8" w:rsidRDefault="00A20CC8" w:rsidP="00831964">
      <w:pPr>
        <w:numPr>
          <w:ilvl w:val="0"/>
          <w:numId w:val="13"/>
        </w:numPr>
        <w:ind w:left="360"/>
        <w:jc w:val="both"/>
      </w:pPr>
      <w:r w:rsidRPr="00A20CC8">
        <w:t>Comma (,) has been used as a decimal marker, while in Indian Standards the current practice is to use a point (.) as the decimal marker.</w:t>
      </w:r>
    </w:p>
    <w:p w14:paraId="26ED0FAC" w14:textId="77777777" w:rsidR="00A20CC8" w:rsidRDefault="00A20CC8" w:rsidP="00831964">
      <w:pPr>
        <w:jc w:val="both"/>
      </w:pPr>
    </w:p>
    <w:p w14:paraId="6F7F0BFA" w14:textId="77777777" w:rsidR="00B11678" w:rsidRDefault="00A20CC8" w:rsidP="00831964">
      <w:pPr>
        <w:jc w:val="both"/>
      </w:pPr>
      <w:r w:rsidRPr="00A20CC8">
        <w:t xml:space="preserve">In this adopted standard, reference appears to International Standards for which Indian Standards also exists.  The corresponding Indian Standards, which are to be substituted, are listed below along with their degree of equivalence for the editions indicated: </w:t>
      </w:r>
    </w:p>
    <w:p w14:paraId="77FB757F" w14:textId="77777777" w:rsidR="00A92ED0" w:rsidRPr="00A20CC8" w:rsidRDefault="00A92ED0" w:rsidP="00A20CC8">
      <w:pPr>
        <w:jc w:val="both"/>
      </w:pP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3690"/>
        <w:gridCol w:w="2160"/>
      </w:tblGrid>
      <w:tr w:rsidR="00423CD6" w:rsidRPr="00D924E7" w14:paraId="7574051E" w14:textId="77777777" w:rsidTr="006D7255">
        <w:trPr>
          <w:trHeight w:val="693"/>
        </w:trPr>
        <w:tc>
          <w:tcPr>
            <w:tcW w:w="3330" w:type="dxa"/>
          </w:tcPr>
          <w:p w14:paraId="04D776C3" w14:textId="77777777" w:rsidR="00423CD6" w:rsidRPr="00BC0258" w:rsidRDefault="00423CD6" w:rsidP="00580EE5">
            <w:pPr>
              <w:keepNext/>
              <w:jc w:val="center"/>
              <w:outlineLvl w:val="1"/>
              <w:rPr>
                <w:bCs/>
                <w:i/>
              </w:rPr>
            </w:pPr>
            <w:r w:rsidRPr="00BC0258">
              <w:rPr>
                <w:bCs/>
                <w:i/>
              </w:rPr>
              <w:t>International Standard</w:t>
            </w:r>
          </w:p>
          <w:p w14:paraId="58F3C06D" w14:textId="77777777" w:rsidR="00423CD6" w:rsidRPr="00BC0258" w:rsidRDefault="00423CD6" w:rsidP="00580EE5">
            <w:pPr>
              <w:jc w:val="center"/>
              <w:rPr>
                <w:bCs/>
                <w:i/>
              </w:rPr>
            </w:pPr>
          </w:p>
        </w:tc>
        <w:tc>
          <w:tcPr>
            <w:tcW w:w="3690" w:type="dxa"/>
          </w:tcPr>
          <w:p w14:paraId="1A29E82C" w14:textId="77777777" w:rsidR="00423CD6" w:rsidRPr="00BC0258" w:rsidRDefault="00423CD6" w:rsidP="00580EE5">
            <w:pPr>
              <w:jc w:val="center"/>
              <w:rPr>
                <w:bCs/>
                <w:i/>
              </w:rPr>
            </w:pPr>
            <w:r w:rsidRPr="00BC0258">
              <w:rPr>
                <w:bCs/>
                <w:i/>
              </w:rPr>
              <w:t>Corresponding Indian Standard</w:t>
            </w:r>
          </w:p>
          <w:p w14:paraId="54BC99E7" w14:textId="77777777" w:rsidR="00423CD6" w:rsidRPr="00BC0258" w:rsidRDefault="00423CD6" w:rsidP="00580EE5">
            <w:pPr>
              <w:jc w:val="center"/>
              <w:rPr>
                <w:bCs/>
                <w:i/>
              </w:rPr>
            </w:pPr>
          </w:p>
        </w:tc>
        <w:tc>
          <w:tcPr>
            <w:tcW w:w="2160" w:type="dxa"/>
          </w:tcPr>
          <w:p w14:paraId="62691C6A" w14:textId="77777777" w:rsidR="00423CD6" w:rsidRPr="00BC0258" w:rsidRDefault="00423CD6" w:rsidP="00580EE5">
            <w:pPr>
              <w:jc w:val="center"/>
              <w:rPr>
                <w:bCs/>
                <w:i/>
              </w:rPr>
            </w:pPr>
            <w:r w:rsidRPr="00BC0258">
              <w:rPr>
                <w:bCs/>
                <w:i/>
              </w:rPr>
              <w:t>Degree of Equivalence</w:t>
            </w:r>
          </w:p>
        </w:tc>
      </w:tr>
      <w:tr w:rsidR="00423CD6" w:rsidRPr="00D924E7" w14:paraId="22D84331" w14:textId="77777777" w:rsidTr="006D7255">
        <w:trPr>
          <w:trHeight w:val="693"/>
        </w:trPr>
        <w:tc>
          <w:tcPr>
            <w:tcW w:w="3330" w:type="dxa"/>
          </w:tcPr>
          <w:p w14:paraId="7EF53E57" w14:textId="77777777" w:rsidR="00423CD6" w:rsidRPr="002615EE" w:rsidRDefault="00423CD6" w:rsidP="0028752C">
            <w:pPr>
              <w:autoSpaceDE w:val="0"/>
              <w:autoSpaceDN w:val="0"/>
              <w:adjustRightInd w:val="0"/>
              <w:jc w:val="both"/>
            </w:pPr>
            <w:r>
              <w:t xml:space="preserve">IEC 60721-1, Classification of </w:t>
            </w:r>
            <w:r w:rsidR="0028752C">
              <w:t>environmental conditions – p</w:t>
            </w:r>
            <w:r>
              <w:t>art 1: Environmental parameters</w:t>
            </w:r>
            <w:r w:rsidR="0028752C">
              <w:t xml:space="preserve"> </w:t>
            </w:r>
            <w:r>
              <w:t>and their severities</w:t>
            </w:r>
          </w:p>
        </w:tc>
        <w:tc>
          <w:tcPr>
            <w:tcW w:w="3690" w:type="dxa"/>
          </w:tcPr>
          <w:p w14:paraId="216585EB" w14:textId="77777777" w:rsidR="005E6D51" w:rsidRDefault="00423CD6" w:rsidP="005E6D51">
            <w:pPr>
              <w:jc w:val="both"/>
              <w:rPr>
                <w:bCs/>
              </w:rPr>
            </w:pPr>
            <w:r>
              <w:rPr>
                <w:color w:val="212529"/>
                <w:shd w:val="clear" w:color="auto" w:fill="FFFFFF"/>
              </w:rPr>
              <w:t>IS 13736 (Part 1) : 2018</w:t>
            </w:r>
            <w:r w:rsidR="005E6D51">
              <w:rPr>
                <w:color w:val="212529"/>
                <w:shd w:val="clear" w:color="auto" w:fill="FFFFFF"/>
              </w:rPr>
              <w:t xml:space="preserve"> / </w:t>
            </w:r>
            <w:r w:rsidR="005E6D51" w:rsidRPr="00C733CE">
              <w:rPr>
                <w:bCs/>
              </w:rPr>
              <w:t xml:space="preserve">IEC </w:t>
            </w:r>
          </w:p>
          <w:p w14:paraId="4ECF5B04" w14:textId="77777777" w:rsidR="00423CD6" w:rsidRPr="007A1E66" w:rsidRDefault="005E6D51" w:rsidP="005E6D51">
            <w:pPr>
              <w:jc w:val="both"/>
              <w:rPr>
                <w:color w:val="212529"/>
                <w:shd w:val="clear" w:color="auto" w:fill="FFFFFF"/>
              </w:rPr>
            </w:pPr>
            <w:r w:rsidRPr="00C733CE">
              <w:rPr>
                <w:bCs/>
              </w:rPr>
              <w:t>60721-1: 2002</w:t>
            </w:r>
            <w:r w:rsidR="00423CD6">
              <w:rPr>
                <w:color w:val="212529"/>
                <w:shd w:val="clear" w:color="auto" w:fill="FFFFFF"/>
              </w:rPr>
              <w:t xml:space="preserve">, </w:t>
            </w:r>
            <w:r w:rsidR="00423CD6" w:rsidRPr="007A1E66">
              <w:rPr>
                <w:color w:val="212529"/>
                <w:shd w:val="clear" w:color="auto" w:fill="FFFFFF"/>
              </w:rPr>
              <w:t>Classificatio</w:t>
            </w:r>
            <w:r w:rsidR="0028752C">
              <w:rPr>
                <w:color w:val="212529"/>
                <w:shd w:val="clear" w:color="auto" w:fill="FFFFFF"/>
              </w:rPr>
              <w:t>n of environmental conditions: p</w:t>
            </w:r>
            <w:r w:rsidR="00423CD6" w:rsidRPr="007A1E66">
              <w:rPr>
                <w:color w:val="212529"/>
                <w:shd w:val="clear" w:color="auto" w:fill="FFFFFF"/>
              </w:rPr>
              <w:t>art 1 environmental parameters and their severities (</w:t>
            </w:r>
            <w:r w:rsidR="00423CD6" w:rsidRPr="006F0D07">
              <w:rPr>
                <w:i/>
                <w:iCs/>
                <w:color w:val="212529"/>
                <w:shd w:val="clear" w:color="auto" w:fill="FFFFFF"/>
              </w:rPr>
              <w:t>first revision</w:t>
            </w:r>
            <w:r w:rsidR="00423CD6" w:rsidRPr="007A1E66">
              <w:rPr>
                <w:color w:val="212529"/>
                <w:shd w:val="clear" w:color="auto" w:fill="FFFFFF"/>
              </w:rPr>
              <w:t>)</w:t>
            </w:r>
          </w:p>
        </w:tc>
        <w:tc>
          <w:tcPr>
            <w:tcW w:w="2160" w:type="dxa"/>
          </w:tcPr>
          <w:p w14:paraId="03E38FB5" w14:textId="77777777" w:rsidR="005E6D51" w:rsidRPr="007A1E66" w:rsidRDefault="00423CD6" w:rsidP="005E6D51">
            <w:pPr>
              <w:jc w:val="center"/>
              <w:rPr>
                <w:bCs/>
              </w:rPr>
            </w:pPr>
            <w:r w:rsidRPr="007A1E66">
              <w:rPr>
                <w:bCs/>
              </w:rPr>
              <w:t>Identical</w:t>
            </w:r>
            <w:r>
              <w:rPr>
                <w:bCs/>
              </w:rPr>
              <w:t xml:space="preserve"> </w:t>
            </w:r>
          </w:p>
          <w:p w14:paraId="4C0CD1C5" w14:textId="77777777" w:rsidR="00423CD6" w:rsidRPr="007A1E66" w:rsidRDefault="00423CD6" w:rsidP="007A1E66">
            <w:pPr>
              <w:jc w:val="center"/>
              <w:rPr>
                <w:bCs/>
                <w:highlight w:val="red"/>
              </w:rPr>
            </w:pPr>
          </w:p>
        </w:tc>
      </w:tr>
      <w:tr w:rsidR="00423CD6" w:rsidRPr="00D924E7" w14:paraId="0547CBAB" w14:textId="77777777" w:rsidTr="006D7255">
        <w:trPr>
          <w:trHeight w:val="693"/>
        </w:trPr>
        <w:tc>
          <w:tcPr>
            <w:tcW w:w="3330" w:type="dxa"/>
          </w:tcPr>
          <w:p w14:paraId="5D96735C" w14:textId="77777777" w:rsidR="00423CD6" w:rsidRDefault="00423CD6" w:rsidP="00E93A28">
            <w:pPr>
              <w:autoSpaceDE w:val="0"/>
              <w:autoSpaceDN w:val="0"/>
              <w:adjustRightInd w:val="0"/>
              <w:jc w:val="both"/>
            </w:pPr>
            <w:r w:rsidRPr="00562467">
              <w:t xml:space="preserve">IEC 62933-1:2018, Electrical </w:t>
            </w:r>
            <w:r w:rsidR="0028752C">
              <w:t>energy storage (EES) systems – p</w:t>
            </w:r>
            <w:r w:rsidRPr="00562467">
              <w:t>art 1: Vocabulary</w:t>
            </w:r>
          </w:p>
        </w:tc>
        <w:tc>
          <w:tcPr>
            <w:tcW w:w="3690" w:type="dxa"/>
          </w:tcPr>
          <w:p w14:paraId="6FD471FA" w14:textId="77777777" w:rsidR="005E6D51" w:rsidRDefault="00423CD6" w:rsidP="0028752C">
            <w:pPr>
              <w:jc w:val="both"/>
              <w:rPr>
                <w:bCs/>
              </w:rPr>
            </w:pPr>
            <w:r w:rsidRPr="00562467">
              <w:rPr>
                <w:color w:val="212529"/>
                <w:shd w:val="clear" w:color="auto" w:fill="FFFFFF"/>
              </w:rPr>
              <w:t>IS 17067 (Part 1) : 20</w:t>
            </w:r>
            <w:r>
              <w:rPr>
                <w:color w:val="212529"/>
                <w:shd w:val="clear" w:color="auto" w:fill="FFFFFF"/>
              </w:rPr>
              <w:t>18</w:t>
            </w:r>
            <w:r w:rsidR="005E6D51">
              <w:rPr>
                <w:color w:val="212529"/>
                <w:shd w:val="clear" w:color="auto" w:fill="FFFFFF"/>
              </w:rPr>
              <w:t xml:space="preserve"> / </w:t>
            </w:r>
            <w:r w:rsidR="005E6D51">
              <w:rPr>
                <w:bCs/>
              </w:rPr>
              <w:t xml:space="preserve">IEC </w:t>
            </w:r>
          </w:p>
          <w:p w14:paraId="442570B1" w14:textId="77777777" w:rsidR="00423CD6" w:rsidRDefault="005E6D51" w:rsidP="0028752C">
            <w:pPr>
              <w:jc w:val="both"/>
              <w:rPr>
                <w:color w:val="212529"/>
                <w:shd w:val="clear" w:color="auto" w:fill="FFFFFF"/>
              </w:rPr>
            </w:pPr>
            <w:r w:rsidRPr="00562467">
              <w:t>62933-1:2018</w:t>
            </w:r>
            <w:r w:rsidR="00423CD6">
              <w:rPr>
                <w:color w:val="212529"/>
                <w:shd w:val="clear" w:color="auto" w:fill="FFFFFF"/>
              </w:rPr>
              <w:t xml:space="preserve">, </w:t>
            </w:r>
            <w:r w:rsidR="00423CD6" w:rsidRPr="00562467">
              <w:rPr>
                <w:color w:val="212529"/>
                <w:shd w:val="clear" w:color="auto" w:fill="FFFFFF"/>
              </w:rPr>
              <w:t>Elec</w:t>
            </w:r>
            <w:r w:rsidR="0028752C">
              <w:rPr>
                <w:color w:val="212529"/>
                <w:shd w:val="clear" w:color="auto" w:fill="FFFFFF"/>
              </w:rPr>
              <w:t>trical energy storage systems: p</w:t>
            </w:r>
            <w:r w:rsidR="00423CD6" w:rsidRPr="00562467">
              <w:rPr>
                <w:color w:val="212529"/>
                <w:shd w:val="clear" w:color="auto" w:fill="FFFFFF"/>
              </w:rPr>
              <w:t>art 1 vocabulary</w:t>
            </w:r>
          </w:p>
        </w:tc>
        <w:tc>
          <w:tcPr>
            <w:tcW w:w="2160" w:type="dxa"/>
          </w:tcPr>
          <w:p w14:paraId="6B610D4A" w14:textId="77777777" w:rsidR="00423CD6" w:rsidRPr="007A1E66" w:rsidRDefault="00423CD6" w:rsidP="005E6D51">
            <w:pPr>
              <w:jc w:val="center"/>
              <w:rPr>
                <w:bCs/>
              </w:rPr>
            </w:pPr>
            <w:r w:rsidRPr="00562467">
              <w:rPr>
                <w:bCs/>
              </w:rPr>
              <w:t>Identical</w:t>
            </w:r>
            <w:r>
              <w:rPr>
                <w:bCs/>
              </w:rPr>
              <w:t xml:space="preserve"> </w:t>
            </w:r>
          </w:p>
        </w:tc>
      </w:tr>
      <w:tr w:rsidR="00423CD6" w:rsidRPr="00D924E7" w14:paraId="4E8DF15B" w14:textId="77777777" w:rsidTr="006D7255">
        <w:trPr>
          <w:trHeight w:val="693"/>
        </w:trPr>
        <w:tc>
          <w:tcPr>
            <w:tcW w:w="3330" w:type="dxa"/>
          </w:tcPr>
          <w:p w14:paraId="2E5D154C" w14:textId="77777777" w:rsidR="00423CD6" w:rsidRPr="00562467" w:rsidRDefault="00423CD6" w:rsidP="0028752C">
            <w:pPr>
              <w:autoSpaceDE w:val="0"/>
              <w:autoSpaceDN w:val="0"/>
              <w:adjustRightInd w:val="0"/>
              <w:jc w:val="both"/>
            </w:pPr>
            <w:r>
              <w:t xml:space="preserve">IEC 62933-2-1, Electrical energy storage (EES) systems – </w:t>
            </w:r>
            <w:r w:rsidR="0028752C">
              <w:t>p</w:t>
            </w:r>
            <w:r>
              <w:t>art 2-1: Unit pa</w:t>
            </w:r>
            <w:r w:rsidR="0028752C">
              <w:t xml:space="preserve">rameters and </w:t>
            </w:r>
            <w:r w:rsidR="0028752C">
              <w:lastRenderedPageBreak/>
              <w:t>testing methods – g</w:t>
            </w:r>
            <w:r>
              <w:t>eneral specification</w:t>
            </w:r>
          </w:p>
        </w:tc>
        <w:tc>
          <w:tcPr>
            <w:tcW w:w="3690" w:type="dxa"/>
          </w:tcPr>
          <w:p w14:paraId="4406C499" w14:textId="77777777" w:rsidR="005E6D51" w:rsidRDefault="00423CD6" w:rsidP="0028752C">
            <w:pPr>
              <w:jc w:val="both"/>
              <w:rPr>
                <w:bCs/>
              </w:rPr>
            </w:pPr>
            <w:r w:rsidRPr="00C733CE">
              <w:rPr>
                <w:color w:val="212529"/>
                <w:shd w:val="clear" w:color="auto" w:fill="FFFFFF"/>
              </w:rPr>
              <w:lastRenderedPageBreak/>
              <w:t>IS 17067 (Part 2/Sec 1)</w:t>
            </w:r>
            <w:r>
              <w:rPr>
                <w:color w:val="212529"/>
                <w:shd w:val="clear" w:color="auto" w:fill="FFFFFF"/>
              </w:rPr>
              <w:t xml:space="preserve"> : 2019</w:t>
            </w:r>
            <w:r w:rsidR="005E6D51">
              <w:rPr>
                <w:color w:val="212529"/>
                <w:shd w:val="clear" w:color="auto" w:fill="FFFFFF"/>
              </w:rPr>
              <w:t xml:space="preserve"> / </w:t>
            </w:r>
            <w:r w:rsidR="005E6D51">
              <w:rPr>
                <w:bCs/>
              </w:rPr>
              <w:t>IEC</w:t>
            </w:r>
          </w:p>
          <w:p w14:paraId="52B10011" w14:textId="77777777" w:rsidR="00423CD6" w:rsidRPr="00562467" w:rsidRDefault="005E6D51" w:rsidP="0028752C">
            <w:pPr>
              <w:jc w:val="both"/>
              <w:rPr>
                <w:color w:val="212529"/>
                <w:shd w:val="clear" w:color="auto" w:fill="FFFFFF"/>
              </w:rPr>
            </w:pPr>
            <w:r>
              <w:rPr>
                <w:bCs/>
              </w:rPr>
              <w:t xml:space="preserve"> </w:t>
            </w:r>
            <w:r>
              <w:t>62933-2-1 : 2017</w:t>
            </w:r>
            <w:r w:rsidR="00423CD6">
              <w:rPr>
                <w:color w:val="212529"/>
                <w:shd w:val="clear" w:color="auto" w:fill="FFFFFF"/>
              </w:rPr>
              <w:t xml:space="preserve">, </w:t>
            </w:r>
            <w:r w:rsidR="00423CD6" w:rsidRPr="00C733CE">
              <w:rPr>
                <w:color w:val="212529"/>
                <w:shd w:val="clear" w:color="auto" w:fill="FFFFFF"/>
              </w:rPr>
              <w:t xml:space="preserve">Electrical </w:t>
            </w:r>
            <w:r w:rsidR="0028752C" w:rsidRPr="00C733CE">
              <w:rPr>
                <w:color w:val="212529"/>
                <w:shd w:val="clear" w:color="auto" w:fill="FFFFFF"/>
              </w:rPr>
              <w:t xml:space="preserve">energy storage ( EES ) systems part 2 unit </w:t>
            </w:r>
            <w:r w:rsidR="0028752C" w:rsidRPr="00C733CE">
              <w:rPr>
                <w:color w:val="212529"/>
                <w:shd w:val="clear" w:color="auto" w:fill="FFFFFF"/>
              </w:rPr>
              <w:lastRenderedPageBreak/>
              <w:t>parameters and testing methods section 1 general specification</w:t>
            </w:r>
          </w:p>
        </w:tc>
        <w:tc>
          <w:tcPr>
            <w:tcW w:w="2160" w:type="dxa"/>
          </w:tcPr>
          <w:p w14:paraId="6B5C67E3" w14:textId="77777777" w:rsidR="005E6D51" w:rsidRPr="00562467" w:rsidRDefault="00423CD6" w:rsidP="005E6D51">
            <w:pPr>
              <w:jc w:val="center"/>
              <w:rPr>
                <w:bCs/>
              </w:rPr>
            </w:pPr>
            <w:r w:rsidRPr="00C733CE">
              <w:rPr>
                <w:bCs/>
              </w:rPr>
              <w:lastRenderedPageBreak/>
              <w:t>Identical</w:t>
            </w:r>
            <w:r>
              <w:rPr>
                <w:bCs/>
              </w:rPr>
              <w:t xml:space="preserve"> </w:t>
            </w:r>
          </w:p>
          <w:p w14:paraId="530A55E4" w14:textId="77777777" w:rsidR="00423CD6" w:rsidRPr="00562467" w:rsidRDefault="00423CD6" w:rsidP="007A1E66">
            <w:pPr>
              <w:jc w:val="center"/>
              <w:rPr>
                <w:bCs/>
              </w:rPr>
            </w:pPr>
          </w:p>
        </w:tc>
      </w:tr>
      <w:tr w:rsidR="00423CD6" w:rsidRPr="00D924E7" w14:paraId="7677D9DD" w14:textId="77777777" w:rsidTr="006D7255">
        <w:trPr>
          <w:trHeight w:val="693"/>
        </w:trPr>
        <w:tc>
          <w:tcPr>
            <w:tcW w:w="3330" w:type="dxa"/>
          </w:tcPr>
          <w:p w14:paraId="36710E9E" w14:textId="77777777" w:rsidR="00423CD6" w:rsidRDefault="00423CD6" w:rsidP="0028752C">
            <w:pPr>
              <w:autoSpaceDE w:val="0"/>
              <w:autoSpaceDN w:val="0"/>
              <w:adjustRightInd w:val="0"/>
              <w:jc w:val="both"/>
            </w:pPr>
            <w:r>
              <w:t>ISO/IEC 27000, Information tech</w:t>
            </w:r>
            <w:r w:rsidR="0028752C">
              <w:t>nology – security techniques – i</w:t>
            </w:r>
            <w:r>
              <w:t>nformation</w:t>
            </w:r>
            <w:r w:rsidR="0028752C">
              <w:t xml:space="preserve"> security management systems – o</w:t>
            </w:r>
            <w:r>
              <w:t>verview and vocabulary</w:t>
            </w:r>
          </w:p>
        </w:tc>
        <w:tc>
          <w:tcPr>
            <w:tcW w:w="3690" w:type="dxa"/>
          </w:tcPr>
          <w:p w14:paraId="2A4AA615" w14:textId="77777777" w:rsidR="00423CD6" w:rsidRPr="00C733CE" w:rsidRDefault="00423CD6" w:rsidP="0028752C">
            <w:pPr>
              <w:jc w:val="both"/>
              <w:rPr>
                <w:color w:val="212529"/>
                <w:shd w:val="clear" w:color="auto" w:fill="FFFFFF"/>
              </w:rPr>
            </w:pPr>
            <w:r>
              <w:rPr>
                <w:color w:val="212529"/>
                <w:shd w:val="clear" w:color="auto" w:fill="FFFFFF"/>
              </w:rPr>
              <w:t xml:space="preserve">IS/ISO/IEC 27000 : 2018, </w:t>
            </w:r>
            <w:r w:rsidR="0028752C">
              <w:rPr>
                <w:color w:val="212529"/>
                <w:shd w:val="clear" w:color="auto" w:fill="FFFFFF"/>
              </w:rPr>
              <w:t>Information technology - s</w:t>
            </w:r>
            <w:r w:rsidRPr="00807E6C">
              <w:rPr>
                <w:color w:val="212529"/>
                <w:shd w:val="clear" w:color="auto" w:fill="FFFFFF"/>
              </w:rPr>
              <w:t>ecurity techniques - information:</w:t>
            </w:r>
            <w:r w:rsidR="0028752C">
              <w:rPr>
                <w:color w:val="212529"/>
                <w:shd w:val="clear" w:color="auto" w:fill="FFFFFF"/>
              </w:rPr>
              <w:t xml:space="preserve"> security management systems - o</w:t>
            </w:r>
            <w:r w:rsidRPr="00807E6C">
              <w:rPr>
                <w:color w:val="212529"/>
                <w:shd w:val="clear" w:color="auto" w:fill="FFFFFF"/>
              </w:rPr>
              <w:t>verview and vocabulary (</w:t>
            </w:r>
            <w:r>
              <w:rPr>
                <w:i/>
                <w:iCs/>
                <w:color w:val="212529"/>
                <w:shd w:val="clear" w:color="auto" w:fill="FFFFFF"/>
              </w:rPr>
              <w:t>f</w:t>
            </w:r>
            <w:r w:rsidRPr="00BC0258">
              <w:rPr>
                <w:i/>
                <w:iCs/>
                <w:color w:val="212529"/>
                <w:shd w:val="clear" w:color="auto" w:fill="FFFFFF"/>
              </w:rPr>
              <w:t xml:space="preserve">irst </w:t>
            </w:r>
            <w:r>
              <w:rPr>
                <w:i/>
                <w:iCs/>
                <w:color w:val="212529"/>
                <w:shd w:val="clear" w:color="auto" w:fill="FFFFFF"/>
              </w:rPr>
              <w:t>r</w:t>
            </w:r>
            <w:r w:rsidRPr="00BC0258">
              <w:rPr>
                <w:i/>
                <w:iCs/>
                <w:color w:val="212529"/>
                <w:shd w:val="clear" w:color="auto" w:fill="FFFFFF"/>
              </w:rPr>
              <w:t>evision</w:t>
            </w:r>
            <w:r w:rsidRPr="00807E6C">
              <w:rPr>
                <w:color w:val="212529"/>
                <w:shd w:val="clear" w:color="auto" w:fill="FFFFFF"/>
              </w:rPr>
              <w:t>)</w:t>
            </w:r>
          </w:p>
        </w:tc>
        <w:tc>
          <w:tcPr>
            <w:tcW w:w="2160" w:type="dxa"/>
          </w:tcPr>
          <w:p w14:paraId="0CD22F93" w14:textId="77777777" w:rsidR="00423CD6" w:rsidRPr="00C733CE" w:rsidRDefault="00423CD6" w:rsidP="007A1E66">
            <w:pPr>
              <w:jc w:val="center"/>
              <w:rPr>
                <w:bCs/>
              </w:rPr>
            </w:pPr>
            <w:r w:rsidRPr="00807E6C">
              <w:rPr>
                <w:bCs/>
              </w:rPr>
              <w:t>Identical</w:t>
            </w:r>
          </w:p>
        </w:tc>
      </w:tr>
    </w:tbl>
    <w:p w14:paraId="6EEDEDB7" w14:textId="77777777" w:rsidR="00B05EDA" w:rsidRDefault="00B05EDA" w:rsidP="00ED6184">
      <w:pPr>
        <w:jc w:val="both"/>
      </w:pPr>
    </w:p>
    <w:p w14:paraId="38C57E31" w14:textId="77777777" w:rsidR="00ED6184" w:rsidRDefault="00ED6184" w:rsidP="00ED6184">
      <w:pPr>
        <w:jc w:val="both"/>
      </w:pPr>
      <w:r w:rsidRPr="00A20CC8">
        <w:t>The technical committee has reviewed the provisions of the following international standards referred in this adopted standard and decided that they are acceptable for use in conjunction with this standard.</w:t>
      </w:r>
    </w:p>
    <w:p w14:paraId="0B86E942" w14:textId="77777777" w:rsidR="00ED6184" w:rsidRPr="00A20CC8" w:rsidRDefault="00ED6184" w:rsidP="00ED6184">
      <w:pPr>
        <w:jc w:val="both"/>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6709"/>
      </w:tblGrid>
      <w:tr w:rsidR="00ED6184" w:rsidRPr="00A20CC8" w14:paraId="54380ADF" w14:textId="77777777" w:rsidTr="00423CD6">
        <w:trPr>
          <w:trHeight w:val="360"/>
        </w:trPr>
        <w:tc>
          <w:tcPr>
            <w:tcW w:w="2538" w:type="dxa"/>
          </w:tcPr>
          <w:p w14:paraId="51AF3914" w14:textId="77777777" w:rsidR="00ED6184" w:rsidRPr="00BC0258" w:rsidRDefault="00ED6184" w:rsidP="000643E2">
            <w:pPr>
              <w:jc w:val="center"/>
              <w:rPr>
                <w:bCs/>
                <w:i/>
                <w:iCs/>
              </w:rPr>
            </w:pPr>
            <w:r w:rsidRPr="00BC0258">
              <w:rPr>
                <w:bCs/>
                <w:i/>
                <w:iCs/>
              </w:rPr>
              <w:t>International Standard</w:t>
            </w:r>
          </w:p>
        </w:tc>
        <w:tc>
          <w:tcPr>
            <w:tcW w:w="6709" w:type="dxa"/>
          </w:tcPr>
          <w:p w14:paraId="4A2DA5A2" w14:textId="77777777" w:rsidR="00ED6184" w:rsidRPr="00BC0258" w:rsidRDefault="00ED6184" w:rsidP="000643E2">
            <w:pPr>
              <w:jc w:val="center"/>
              <w:rPr>
                <w:bCs/>
                <w:i/>
              </w:rPr>
            </w:pPr>
            <w:r w:rsidRPr="00BC0258">
              <w:rPr>
                <w:bCs/>
                <w:i/>
              </w:rPr>
              <w:t>Title</w:t>
            </w:r>
          </w:p>
        </w:tc>
      </w:tr>
      <w:tr w:rsidR="00562467" w:rsidRPr="00A20CC8" w14:paraId="7DDA599A" w14:textId="77777777" w:rsidTr="00423CD6">
        <w:trPr>
          <w:trHeight w:val="360"/>
        </w:trPr>
        <w:tc>
          <w:tcPr>
            <w:tcW w:w="2538" w:type="dxa"/>
          </w:tcPr>
          <w:p w14:paraId="0505F0BF" w14:textId="77777777" w:rsidR="00562467" w:rsidRDefault="00562467" w:rsidP="00562467">
            <w:pPr>
              <w:autoSpaceDE w:val="0"/>
              <w:autoSpaceDN w:val="0"/>
              <w:adjustRightInd w:val="0"/>
              <w:jc w:val="both"/>
            </w:pPr>
            <w:r>
              <w:t xml:space="preserve">IEC 62351 (all parts), </w:t>
            </w:r>
          </w:p>
        </w:tc>
        <w:tc>
          <w:tcPr>
            <w:tcW w:w="6709" w:type="dxa"/>
          </w:tcPr>
          <w:p w14:paraId="4FF179CC" w14:textId="77777777" w:rsidR="00562467" w:rsidRPr="00526971" w:rsidRDefault="00562467" w:rsidP="00562467">
            <w:r w:rsidRPr="00562467">
              <w:t>Power systems management and associated information exchange – Data and communications security</w:t>
            </w:r>
          </w:p>
        </w:tc>
      </w:tr>
      <w:tr w:rsidR="00562467" w:rsidRPr="00A20CC8" w14:paraId="70414479" w14:textId="77777777" w:rsidTr="00423CD6">
        <w:trPr>
          <w:trHeight w:val="360"/>
        </w:trPr>
        <w:tc>
          <w:tcPr>
            <w:tcW w:w="2538" w:type="dxa"/>
          </w:tcPr>
          <w:p w14:paraId="3CAC68A0" w14:textId="77777777" w:rsidR="00562467" w:rsidRDefault="00562467" w:rsidP="00562467">
            <w:pPr>
              <w:autoSpaceDE w:val="0"/>
              <w:autoSpaceDN w:val="0"/>
              <w:adjustRightInd w:val="0"/>
              <w:jc w:val="both"/>
            </w:pPr>
            <w:r w:rsidRPr="00562467">
              <w:t>IEC 62443 (all parts),</w:t>
            </w:r>
          </w:p>
        </w:tc>
        <w:tc>
          <w:tcPr>
            <w:tcW w:w="6709" w:type="dxa"/>
          </w:tcPr>
          <w:p w14:paraId="3D368962" w14:textId="77777777" w:rsidR="00562467" w:rsidRPr="00562467" w:rsidRDefault="00562467" w:rsidP="00562467">
            <w:r w:rsidRPr="00562467">
              <w:t>Industrial communication networks – Network and system security</w:t>
            </w:r>
          </w:p>
        </w:tc>
      </w:tr>
      <w:tr w:rsidR="00562467" w:rsidRPr="00A20CC8" w14:paraId="278B55C5" w14:textId="77777777" w:rsidTr="00423CD6">
        <w:trPr>
          <w:trHeight w:val="360"/>
        </w:trPr>
        <w:tc>
          <w:tcPr>
            <w:tcW w:w="2538" w:type="dxa"/>
          </w:tcPr>
          <w:p w14:paraId="12ECC7ED" w14:textId="77777777" w:rsidR="00807E6C" w:rsidRPr="00562467" w:rsidRDefault="00807E6C" w:rsidP="00807E6C">
            <w:pPr>
              <w:autoSpaceDE w:val="0"/>
              <w:autoSpaceDN w:val="0"/>
              <w:adjustRightInd w:val="0"/>
              <w:jc w:val="both"/>
            </w:pPr>
            <w:r>
              <w:t xml:space="preserve">IEC TS 62933-5-1, </w:t>
            </w:r>
          </w:p>
          <w:p w14:paraId="20BE8D37" w14:textId="77777777" w:rsidR="00562467" w:rsidRPr="00562467" w:rsidRDefault="00562467" w:rsidP="00807E6C">
            <w:pPr>
              <w:autoSpaceDE w:val="0"/>
              <w:autoSpaceDN w:val="0"/>
              <w:adjustRightInd w:val="0"/>
              <w:jc w:val="both"/>
            </w:pPr>
          </w:p>
        </w:tc>
        <w:tc>
          <w:tcPr>
            <w:tcW w:w="6709" w:type="dxa"/>
          </w:tcPr>
          <w:p w14:paraId="493C40B6" w14:textId="77777777" w:rsidR="00562467" w:rsidRPr="00562467" w:rsidRDefault="00807E6C" w:rsidP="0028752C">
            <w:pPr>
              <w:jc w:val="both"/>
            </w:pPr>
            <w:r>
              <w:t xml:space="preserve">Electrical </w:t>
            </w:r>
            <w:r w:rsidR="0028752C">
              <w:t>energy storage (EES) systems – part 5-1: s</w:t>
            </w:r>
            <w:r>
              <w:t>afety considerations</w:t>
            </w:r>
            <w:r w:rsidR="0028752C">
              <w:t xml:space="preserve"> </w:t>
            </w:r>
            <w:r>
              <w:t>for</w:t>
            </w:r>
            <w:r w:rsidR="0028752C">
              <w:t xml:space="preserve"> grid-integrated EES systems – g</w:t>
            </w:r>
            <w:r>
              <w:t>eneral specification</w:t>
            </w:r>
          </w:p>
        </w:tc>
      </w:tr>
    </w:tbl>
    <w:p w14:paraId="27661D44" w14:textId="77777777" w:rsidR="002615EE" w:rsidRDefault="002615EE" w:rsidP="00790308">
      <w:pPr>
        <w:jc w:val="both"/>
      </w:pPr>
    </w:p>
    <w:p w14:paraId="137D841C" w14:textId="77777777" w:rsidR="00790308" w:rsidRDefault="00790308" w:rsidP="00790308">
      <w:pPr>
        <w:jc w:val="both"/>
      </w:pPr>
      <w:r w:rsidRPr="000C1023">
        <w:t>Only English language text has been retained while adopting it in this Indian Standard, and as such the page numbers given here are not the same as in the International Standard.</w:t>
      </w:r>
      <w:r w:rsidR="00AF22DE">
        <w:t xml:space="preserve"> </w:t>
      </w:r>
    </w:p>
    <w:p w14:paraId="5141E7CF" w14:textId="77777777" w:rsidR="00527596" w:rsidRPr="00A20CC8" w:rsidRDefault="00527596" w:rsidP="00A20CC8">
      <w:pPr>
        <w:jc w:val="both"/>
      </w:pPr>
    </w:p>
    <w:p w14:paraId="6866CE88" w14:textId="77777777" w:rsidR="00A20CC8" w:rsidRDefault="00A20CC8" w:rsidP="00A20CC8">
      <w:pPr>
        <w:jc w:val="both"/>
      </w:pPr>
      <w:r w:rsidRPr="00A20CC8">
        <w:t xml:space="preserve">For the purpose of deciding whether a particular requirement of this standard is complied with, the final value, observed or calculated expressing the result of a test, shall be rounded off in accordance with IS </w:t>
      </w:r>
      <w:r w:rsidR="00950335" w:rsidRPr="00A20CC8">
        <w:t>2:</w:t>
      </w:r>
      <w:r w:rsidR="005E18B2">
        <w:t xml:space="preserve"> 2022 </w:t>
      </w:r>
      <w:r w:rsidRPr="00A20CC8">
        <w:t>‘Rules for rounding off numerical values (</w:t>
      </w:r>
      <w:r w:rsidR="00735DFD" w:rsidRPr="00735DFD">
        <w:rPr>
          <w:i/>
          <w:iCs/>
        </w:rPr>
        <w:t>second revision</w:t>
      </w:r>
      <w:r w:rsidRPr="00A20CC8">
        <w:t>)’. The number of significant places retained in the rounded off value should be the same as that of the specified value in this standard.</w:t>
      </w:r>
    </w:p>
    <w:p w14:paraId="4B0E2B8B" w14:textId="77777777" w:rsidR="000A65B9" w:rsidRDefault="000A65B9" w:rsidP="00A20CC8">
      <w:pPr>
        <w:jc w:val="both"/>
      </w:pPr>
    </w:p>
    <w:sectPr w:rsidR="000A65B9" w:rsidSect="00DC0C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80C91" w14:textId="77777777" w:rsidR="00CC43F8" w:rsidRDefault="00CC43F8" w:rsidP="00C05662">
      <w:r>
        <w:separator/>
      </w:r>
    </w:p>
  </w:endnote>
  <w:endnote w:type="continuationSeparator" w:id="0">
    <w:p w14:paraId="38BB08BD" w14:textId="77777777" w:rsidR="00CC43F8" w:rsidRDefault="00CC43F8" w:rsidP="00C0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altName w:val="Kokila"/>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E5B84" w14:textId="77777777" w:rsidR="00CC43F8" w:rsidRDefault="00CC43F8" w:rsidP="00C05662">
      <w:r>
        <w:separator/>
      </w:r>
    </w:p>
  </w:footnote>
  <w:footnote w:type="continuationSeparator" w:id="0">
    <w:p w14:paraId="6F321487" w14:textId="77777777" w:rsidR="00CC43F8" w:rsidRDefault="00CC43F8" w:rsidP="00C05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2844"/>
    <w:multiLevelType w:val="hybridMultilevel"/>
    <w:tmpl w:val="D6C28456"/>
    <w:lvl w:ilvl="0" w:tplc="44A62B70">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 w15:restartNumberingAfterBreak="0">
    <w:nsid w:val="14A23CCE"/>
    <w:multiLevelType w:val="hybridMultilevel"/>
    <w:tmpl w:val="FF503050"/>
    <w:lvl w:ilvl="0" w:tplc="4F1C53A0">
      <w:start w:val="1"/>
      <w:numFmt w:val="lowerLetter"/>
      <w:lvlText w:val="%1)"/>
      <w:lvlJc w:val="left"/>
      <w:pPr>
        <w:tabs>
          <w:tab w:val="num" w:pos="720"/>
        </w:tabs>
        <w:ind w:left="720" w:hanging="360"/>
      </w:pPr>
      <w:rPr>
        <w:rFonts w:hint="default"/>
        <w:vertAlign w:val="base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B431E28"/>
    <w:multiLevelType w:val="hybridMultilevel"/>
    <w:tmpl w:val="4D647900"/>
    <w:lvl w:ilvl="0" w:tplc="BD308B9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FF07A0"/>
    <w:multiLevelType w:val="hybridMultilevel"/>
    <w:tmpl w:val="CD5846F8"/>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8225BD6"/>
    <w:multiLevelType w:val="hybridMultilevel"/>
    <w:tmpl w:val="2E4C6A68"/>
    <w:lvl w:ilvl="0" w:tplc="313E90E6">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5" w15:restartNumberingAfterBreak="0">
    <w:nsid w:val="2ABC1D42"/>
    <w:multiLevelType w:val="hybridMultilevel"/>
    <w:tmpl w:val="D85AB2B4"/>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6" w15:restartNumberingAfterBreak="0">
    <w:nsid w:val="2F8C3A16"/>
    <w:multiLevelType w:val="hybridMultilevel"/>
    <w:tmpl w:val="459E3A1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BEE537E"/>
    <w:multiLevelType w:val="hybridMultilevel"/>
    <w:tmpl w:val="1184578C"/>
    <w:lvl w:ilvl="0" w:tplc="03E24D7C">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8" w15:restartNumberingAfterBreak="0">
    <w:nsid w:val="426B4BCD"/>
    <w:multiLevelType w:val="hybridMultilevel"/>
    <w:tmpl w:val="83B6467C"/>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500496C"/>
    <w:multiLevelType w:val="hybridMultilevel"/>
    <w:tmpl w:val="509CD5B2"/>
    <w:lvl w:ilvl="0" w:tplc="04090011">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15:restartNumberingAfterBreak="0">
    <w:nsid w:val="4A9336C6"/>
    <w:multiLevelType w:val="hybridMultilevel"/>
    <w:tmpl w:val="06961B30"/>
    <w:lvl w:ilvl="0" w:tplc="04090011">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15:restartNumberingAfterBreak="0">
    <w:nsid w:val="71702DF1"/>
    <w:multiLevelType w:val="hybridMultilevel"/>
    <w:tmpl w:val="F3EA07B2"/>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2" w15:restartNumberingAfterBreak="0">
    <w:nsid w:val="737E7C96"/>
    <w:multiLevelType w:val="hybridMultilevel"/>
    <w:tmpl w:val="D1B466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510679209">
    <w:abstractNumId w:val="3"/>
  </w:num>
  <w:num w:numId="2" w16cid:durableId="1577785337">
    <w:abstractNumId w:val="6"/>
  </w:num>
  <w:num w:numId="3" w16cid:durableId="611010823">
    <w:abstractNumId w:val="9"/>
  </w:num>
  <w:num w:numId="4" w16cid:durableId="2019695573">
    <w:abstractNumId w:val="8"/>
  </w:num>
  <w:num w:numId="5" w16cid:durableId="1277983386">
    <w:abstractNumId w:val="10"/>
  </w:num>
  <w:num w:numId="6" w16cid:durableId="2135636778">
    <w:abstractNumId w:val="0"/>
  </w:num>
  <w:num w:numId="7" w16cid:durableId="389041898">
    <w:abstractNumId w:val="7"/>
  </w:num>
  <w:num w:numId="8" w16cid:durableId="156773679">
    <w:abstractNumId w:val="4"/>
  </w:num>
  <w:num w:numId="9" w16cid:durableId="716930588">
    <w:abstractNumId w:val="5"/>
  </w:num>
  <w:num w:numId="10" w16cid:durableId="1756198679">
    <w:abstractNumId w:val="11"/>
  </w:num>
  <w:num w:numId="11" w16cid:durableId="435096765">
    <w:abstractNumId w:val="12"/>
  </w:num>
  <w:num w:numId="12" w16cid:durableId="1263955557">
    <w:abstractNumId w:val="1"/>
  </w:num>
  <w:num w:numId="13" w16cid:durableId="1562211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E01"/>
    <w:rsid w:val="00000742"/>
    <w:rsid w:val="00001EF9"/>
    <w:rsid w:val="00002C38"/>
    <w:rsid w:val="00002D7C"/>
    <w:rsid w:val="00005BEC"/>
    <w:rsid w:val="00006B18"/>
    <w:rsid w:val="0000737E"/>
    <w:rsid w:val="00012DF0"/>
    <w:rsid w:val="00012E01"/>
    <w:rsid w:val="00012EA2"/>
    <w:rsid w:val="00013F81"/>
    <w:rsid w:val="00014C36"/>
    <w:rsid w:val="00015B08"/>
    <w:rsid w:val="00016884"/>
    <w:rsid w:val="00021768"/>
    <w:rsid w:val="00023F50"/>
    <w:rsid w:val="0002555C"/>
    <w:rsid w:val="000311F0"/>
    <w:rsid w:val="00031395"/>
    <w:rsid w:val="00033B0D"/>
    <w:rsid w:val="00034F28"/>
    <w:rsid w:val="000358D2"/>
    <w:rsid w:val="00035F72"/>
    <w:rsid w:val="0004022A"/>
    <w:rsid w:val="00051721"/>
    <w:rsid w:val="000578F9"/>
    <w:rsid w:val="00057DF1"/>
    <w:rsid w:val="00060F6A"/>
    <w:rsid w:val="00061D7A"/>
    <w:rsid w:val="000623E3"/>
    <w:rsid w:val="00062EA5"/>
    <w:rsid w:val="00063BC1"/>
    <w:rsid w:val="00065116"/>
    <w:rsid w:val="0006579F"/>
    <w:rsid w:val="00067CFF"/>
    <w:rsid w:val="00070464"/>
    <w:rsid w:val="00071702"/>
    <w:rsid w:val="000755B0"/>
    <w:rsid w:val="000768CB"/>
    <w:rsid w:val="000776BB"/>
    <w:rsid w:val="000804C5"/>
    <w:rsid w:val="00090E11"/>
    <w:rsid w:val="00094981"/>
    <w:rsid w:val="0009650F"/>
    <w:rsid w:val="00097FCD"/>
    <w:rsid w:val="000A35DB"/>
    <w:rsid w:val="000A4E85"/>
    <w:rsid w:val="000A633F"/>
    <w:rsid w:val="000A65B9"/>
    <w:rsid w:val="000A7D34"/>
    <w:rsid w:val="000B2A95"/>
    <w:rsid w:val="000B68CB"/>
    <w:rsid w:val="000C016B"/>
    <w:rsid w:val="000C1023"/>
    <w:rsid w:val="000C1B65"/>
    <w:rsid w:val="000C2655"/>
    <w:rsid w:val="000C5944"/>
    <w:rsid w:val="000C6312"/>
    <w:rsid w:val="000D0F57"/>
    <w:rsid w:val="000D3FA6"/>
    <w:rsid w:val="000D6429"/>
    <w:rsid w:val="000D6D9F"/>
    <w:rsid w:val="000E11DD"/>
    <w:rsid w:val="000E19A2"/>
    <w:rsid w:val="000E4231"/>
    <w:rsid w:val="000E4527"/>
    <w:rsid w:val="000E7DD9"/>
    <w:rsid w:val="000F0B3E"/>
    <w:rsid w:val="000F1C42"/>
    <w:rsid w:val="000F2AE4"/>
    <w:rsid w:val="000F64D3"/>
    <w:rsid w:val="000F71B8"/>
    <w:rsid w:val="00101DDA"/>
    <w:rsid w:val="0011069D"/>
    <w:rsid w:val="0011213E"/>
    <w:rsid w:val="001125E9"/>
    <w:rsid w:val="00112C04"/>
    <w:rsid w:val="00114FBF"/>
    <w:rsid w:val="001203AE"/>
    <w:rsid w:val="00124B2A"/>
    <w:rsid w:val="00130DA7"/>
    <w:rsid w:val="00130E20"/>
    <w:rsid w:val="0013250A"/>
    <w:rsid w:val="00137CB4"/>
    <w:rsid w:val="00140CF0"/>
    <w:rsid w:val="00141B3E"/>
    <w:rsid w:val="00141B74"/>
    <w:rsid w:val="00143313"/>
    <w:rsid w:val="00144D7E"/>
    <w:rsid w:val="0014593C"/>
    <w:rsid w:val="0014761F"/>
    <w:rsid w:val="001477CC"/>
    <w:rsid w:val="00147DB2"/>
    <w:rsid w:val="001511B3"/>
    <w:rsid w:val="00151F2A"/>
    <w:rsid w:val="00152047"/>
    <w:rsid w:val="0015229F"/>
    <w:rsid w:val="00153656"/>
    <w:rsid w:val="001577CD"/>
    <w:rsid w:val="00160902"/>
    <w:rsid w:val="00161C4A"/>
    <w:rsid w:val="00164019"/>
    <w:rsid w:val="001651C1"/>
    <w:rsid w:val="00165B12"/>
    <w:rsid w:val="00170733"/>
    <w:rsid w:val="00175B48"/>
    <w:rsid w:val="00180702"/>
    <w:rsid w:val="00183813"/>
    <w:rsid w:val="00184A0F"/>
    <w:rsid w:val="0018766C"/>
    <w:rsid w:val="0019072A"/>
    <w:rsid w:val="00191BAB"/>
    <w:rsid w:val="0019264D"/>
    <w:rsid w:val="001930DC"/>
    <w:rsid w:val="001A0FAD"/>
    <w:rsid w:val="001A12EC"/>
    <w:rsid w:val="001A25C3"/>
    <w:rsid w:val="001A2E74"/>
    <w:rsid w:val="001A6C92"/>
    <w:rsid w:val="001A7185"/>
    <w:rsid w:val="001B211F"/>
    <w:rsid w:val="001B2350"/>
    <w:rsid w:val="001B2991"/>
    <w:rsid w:val="001B31BF"/>
    <w:rsid w:val="001B3AB7"/>
    <w:rsid w:val="001B40C7"/>
    <w:rsid w:val="001B57E2"/>
    <w:rsid w:val="001B62A2"/>
    <w:rsid w:val="001B6B2D"/>
    <w:rsid w:val="001B6E52"/>
    <w:rsid w:val="001B7DBC"/>
    <w:rsid w:val="001C2C11"/>
    <w:rsid w:val="001C687A"/>
    <w:rsid w:val="001D0464"/>
    <w:rsid w:val="001D0A63"/>
    <w:rsid w:val="001D1BAD"/>
    <w:rsid w:val="001D3033"/>
    <w:rsid w:val="001D372C"/>
    <w:rsid w:val="001D7791"/>
    <w:rsid w:val="001E02F3"/>
    <w:rsid w:val="001E1E3F"/>
    <w:rsid w:val="001E7113"/>
    <w:rsid w:val="001F064C"/>
    <w:rsid w:val="001F1C5C"/>
    <w:rsid w:val="001F28CB"/>
    <w:rsid w:val="001F539D"/>
    <w:rsid w:val="001F7986"/>
    <w:rsid w:val="002002DC"/>
    <w:rsid w:val="002009A1"/>
    <w:rsid w:val="00202801"/>
    <w:rsid w:val="002041E7"/>
    <w:rsid w:val="00204E4B"/>
    <w:rsid w:val="00206915"/>
    <w:rsid w:val="00211DA6"/>
    <w:rsid w:val="00214F4D"/>
    <w:rsid w:val="00214F99"/>
    <w:rsid w:val="002169D0"/>
    <w:rsid w:val="00217F96"/>
    <w:rsid w:val="0022044E"/>
    <w:rsid w:val="00220905"/>
    <w:rsid w:val="00221D0C"/>
    <w:rsid w:val="00223052"/>
    <w:rsid w:val="0022367B"/>
    <w:rsid w:val="002302E0"/>
    <w:rsid w:val="002335A3"/>
    <w:rsid w:val="002341F0"/>
    <w:rsid w:val="00241671"/>
    <w:rsid w:val="0024219E"/>
    <w:rsid w:val="002457F2"/>
    <w:rsid w:val="00246E0D"/>
    <w:rsid w:val="0025273F"/>
    <w:rsid w:val="00252D73"/>
    <w:rsid w:val="00256A59"/>
    <w:rsid w:val="00257271"/>
    <w:rsid w:val="002603EB"/>
    <w:rsid w:val="002615EE"/>
    <w:rsid w:val="002631DC"/>
    <w:rsid w:val="00265B99"/>
    <w:rsid w:val="002675F1"/>
    <w:rsid w:val="00267C86"/>
    <w:rsid w:val="0027040F"/>
    <w:rsid w:val="00272B83"/>
    <w:rsid w:val="00282D7E"/>
    <w:rsid w:val="002839A5"/>
    <w:rsid w:val="00284FE0"/>
    <w:rsid w:val="0028752C"/>
    <w:rsid w:val="00287CA0"/>
    <w:rsid w:val="00294F58"/>
    <w:rsid w:val="00296660"/>
    <w:rsid w:val="002A01F1"/>
    <w:rsid w:val="002A1EAD"/>
    <w:rsid w:val="002A747B"/>
    <w:rsid w:val="002B0ABA"/>
    <w:rsid w:val="002B15C7"/>
    <w:rsid w:val="002B16F1"/>
    <w:rsid w:val="002B188A"/>
    <w:rsid w:val="002C5D34"/>
    <w:rsid w:val="002C5EE7"/>
    <w:rsid w:val="002D246D"/>
    <w:rsid w:val="002D2D03"/>
    <w:rsid w:val="002D398D"/>
    <w:rsid w:val="002D4E3F"/>
    <w:rsid w:val="002E369B"/>
    <w:rsid w:val="002E62FA"/>
    <w:rsid w:val="002F2B12"/>
    <w:rsid w:val="002F2F4C"/>
    <w:rsid w:val="002F46AD"/>
    <w:rsid w:val="002F4D84"/>
    <w:rsid w:val="002F5AF0"/>
    <w:rsid w:val="002F5E6A"/>
    <w:rsid w:val="002F6928"/>
    <w:rsid w:val="002F75AA"/>
    <w:rsid w:val="002F7E01"/>
    <w:rsid w:val="00302079"/>
    <w:rsid w:val="00306861"/>
    <w:rsid w:val="003073FA"/>
    <w:rsid w:val="00307606"/>
    <w:rsid w:val="00307C75"/>
    <w:rsid w:val="00310728"/>
    <w:rsid w:val="00312DD6"/>
    <w:rsid w:val="00315C4E"/>
    <w:rsid w:val="00321A6D"/>
    <w:rsid w:val="003234F3"/>
    <w:rsid w:val="00323E6E"/>
    <w:rsid w:val="00324ADB"/>
    <w:rsid w:val="00325347"/>
    <w:rsid w:val="003257FA"/>
    <w:rsid w:val="00327083"/>
    <w:rsid w:val="00332C3A"/>
    <w:rsid w:val="003337E2"/>
    <w:rsid w:val="003339A0"/>
    <w:rsid w:val="00333A8B"/>
    <w:rsid w:val="00334B44"/>
    <w:rsid w:val="00334E96"/>
    <w:rsid w:val="0033522D"/>
    <w:rsid w:val="003352D9"/>
    <w:rsid w:val="003375DA"/>
    <w:rsid w:val="003423AF"/>
    <w:rsid w:val="0034261E"/>
    <w:rsid w:val="0034500C"/>
    <w:rsid w:val="003469A4"/>
    <w:rsid w:val="0034723D"/>
    <w:rsid w:val="00353D78"/>
    <w:rsid w:val="003546AC"/>
    <w:rsid w:val="00355959"/>
    <w:rsid w:val="00355A34"/>
    <w:rsid w:val="00356F4E"/>
    <w:rsid w:val="00357A2E"/>
    <w:rsid w:val="00362DFC"/>
    <w:rsid w:val="00372F5C"/>
    <w:rsid w:val="00373AF3"/>
    <w:rsid w:val="00373BB1"/>
    <w:rsid w:val="00375A78"/>
    <w:rsid w:val="00382334"/>
    <w:rsid w:val="00382FC1"/>
    <w:rsid w:val="003837D3"/>
    <w:rsid w:val="00384757"/>
    <w:rsid w:val="003860A3"/>
    <w:rsid w:val="00390FF7"/>
    <w:rsid w:val="003929CD"/>
    <w:rsid w:val="00395720"/>
    <w:rsid w:val="00395727"/>
    <w:rsid w:val="00396017"/>
    <w:rsid w:val="00397291"/>
    <w:rsid w:val="003A2461"/>
    <w:rsid w:val="003A3396"/>
    <w:rsid w:val="003A3518"/>
    <w:rsid w:val="003A36C7"/>
    <w:rsid w:val="003A6DEA"/>
    <w:rsid w:val="003B048B"/>
    <w:rsid w:val="003B18DD"/>
    <w:rsid w:val="003B286B"/>
    <w:rsid w:val="003C193D"/>
    <w:rsid w:val="003C216C"/>
    <w:rsid w:val="003D0897"/>
    <w:rsid w:val="003D2938"/>
    <w:rsid w:val="003D4BED"/>
    <w:rsid w:val="003D665C"/>
    <w:rsid w:val="003D6C12"/>
    <w:rsid w:val="003E485A"/>
    <w:rsid w:val="003E613E"/>
    <w:rsid w:val="003E6182"/>
    <w:rsid w:val="003E7317"/>
    <w:rsid w:val="003E7A35"/>
    <w:rsid w:val="003F348B"/>
    <w:rsid w:val="003F48C5"/>
    <w:rsid w:val="004004FC"/>
    <w:rsid w:val="004033D5"/>
    <w:rsid w:val="004034D7"/>
    <w:rsid w:val="00403546"/>
    <w:rsid w:val="00403F55"/>
    <w:rsid w:val="00404F2D"/>
    <w:rsid w:val="0040548E"/>
    <w:rsid w:val="004112BA"/>
    <w:rsid w:val="00413685"/>
    <w:rsid w:val="004157D3"/>
    <w:rsid w:val="00415A47"/>
    <w:rsid w:val="00420609"/>
    <w:rsid w:val="00423CD6"/>
    <w:rsid w:val="004243BB"/>
    <w:rsid w:val="00427F7A"/>
    <w:rsid w:val="004307C3"/>
    <w:rsid w:val="00430D49"/>
    <w:rsid w:val="0043180A"/>
    <w:rsid w:val="00432F43"/>
    <w:rsid w:val="0043332C"/>
    <w:rsid w:val="00434157"/>
    <w:rsid w:val="0043473C"/>
    <w:rsid w:val="00437C5C"/>
    <w:rsid w:val="004429A5"/>
    <w:rsid w:val="00443301"/>
    <w:rsid w:val="0044431E"/>
    <w:rsid w:val="00444CB2"/>
    <w:rsid w:val="004502BE"/>
    <w:rsid w:val="004504D1"/>
    <w:rsid w:val="0045096B"/>
    <w:rsid w:val="00450A7A"/>
    <w:rsid w:val="004515E9"/>
    <w:rsid w:val="00451EF8"/>
    <w:rsid w:val="00453595"/>
    <w:rsid w:val="0045362C"/>
    <w:rsid w:val="00453B86"/>
    <w:rsid w:val="00455262"/>
    <w:rsid w:val="00455722"/>
    <w:rsid w:val="00457900"/>
    <w:rsid w:val="00457C93"/>
    <w:rsid w:val="004603EF"/>
    <w:rsid w:val="00462651"/>
    <w:rsid w:val="00462D3E"/>
    <w:rsid w:val="00463AB3"/>
    <w:rsid w:val="00467C36"/>
    <w:rsid w:val="00471541"/>
    <w:rsid w:val="00471B95"/>
    <w:rsid w:val="0047360F"/>
    <w:rsid w:val="00474802"/>
    <w:rsid w:val="00474B38"/>
    <w:rsid w:val="00475413"/>
    <w:rsid w:val="00475D5D"/>
    <w:rsid w:val="0048494C"/>
    <w:rsid w:val="004934B2"/>
    <w:rsid w:val="0049377C"/>
    <w:rsid w:val="0049510D"/>
    <w:rsid w:val="00495676"/>
    <w:rsid w:val="004A032D"/>
    <w:rsid w:val="004A2539"/>
    <w:rsid w:val="004A3185"/>
    <w:rsid w:val="004A46C5"/>
    <w:rsid w:val="004A4FFC"/>
    <w:rsid w:val="004A610C"/>
    <w:rsid w:val="004B03DA"/>
    <w:rsid w:val="004B45E8"/>
    <w:rsid w:val="004B4631"/>
    <w:rsid w:val="004B4BBF"/>
    <w:rsid w:val="004B583C"/>
    <w:rsid w:val="004C0EC2"/>
    <w:rsid w:val="004C1EC4"/>
    <w:rsid w:val="004C2F78"/>
    <w:rsid w:val="004C65E9"/>
    <w:rsid w:val="004D0B53"/>
    <w:rsid w:val="004D0CAA"/>
    <w:rsid w:val="004D243D"/>
    <w:rsid w:val="004D320D"/>
    <w:rsid w:val="004E0032"/>
    <w:rsid w:val="004E0A8E"/>
    <w:rsid w:val="004E0BD2"/>
    <w:rsid w:val="004E1A2A"/>
    <w:rsid w:val="004E2567"/>
    <w:rsid w:val="004E2943"/>
    <w:rsid w:val="004E4282"/>
    <w:rsid w:val="004E7751"/>
    <w:rsid w:val="004E7788"/>
    <w:rsid w:val="004E7E1F"/>
    <w:rsid w:val="004F0624"/>
    <w:rsid w:val="004F22CE"/>
    <w:rsid w:val="004F2D26"/>
    <w:rsid w:val="004F31A6"/>
    <w:rsid w:val="004F3AA5"/>
    <w:rsid w:val="004F5A0A"/>
    <w:rsid w:val="004F711E"/>
    <w:rsid w:val="004F75FB"/>
    <w:rsid w:val="00501EAF"/>
    <w:rsid w:val="00503D4B"/>
    <w:rsid w:val="005047A6"/>
    <w:rsid w:val="00505FC9"/>
    <w:rsid w:val="0050626E"/>
    <w:rsid w:val="00513044"/>
    <w:rsid w:val="005160AE"/>
    <w:rsid w:val="0051687F"/>
    <w:rsid w:val="00520101"/>
    <w:rsid w:val="005218A3"/>
    <w:rsid w:val="00523C10"/>
    <w:rsid w:val="00523C2B"/>
    <w:rsid w:val="0052678E"/>
    <w:rsid w:val="00526971"/>
    <w:rsid w:val="00527596"/>
    <w:rsid w:val="005326D8"/>
    <w:rsid w:val="0053417E"/>
    <w:rsid w:val="005352EF"/>
    <w:rsid w:val="00536B77"/>
    <w:rsid w:val="00540D6F"/>
    <w:rsid w:val="0054556E"/>
    <w:rsid w:val="00552357"/>
    <w:rsid w:val="00560BC8"/>
    <w:rsid w:val="00562467"/>
    <w:rsid w:val="00566280"/>
    <w:rsid w:val="0056758B"/>
    <w:rsid w:val="0057399A"/>
    <w:rsid w:val="00574887"/>
    <w:rsid w:val="00580EE5"/>
    <w:rsid w:val="00582ADE"/>
    <w:rsid w:val="00582B13"/>
    <w:rsid w:val="00584F96"/>
    <w:rsid w:val="005860F4"/>
    <w:rsid w:val="005870A8"/>
    <w:rsid w:val="00587250"/>
    <w:rsid w:val="00591614"/>
    <w:rsid w:val="005943BB"/>
    <w:rsid w:val="00594893"/>
    <w:rsid w:val="005961C7"/>
    <w:rsid w:val="005A38C3"/>
    <w:rsid w:val="005A4E16"/>
    <w:rsid w:val="005B0528"/>
    <w:rsid w:val="005B1D81"/>
    <w:rsid w:val="005B42DE"/>
    <w:rsid w:val="005B4C93"/>
    <w:rsid w:val="005B7791"/>
    <w:rsid w:val="005C0440"/>
    <w:rsid w:val="005C0713"/>
    <w:rsid w:val="005C2582"/>
    <w:rsid w:val="005C67BB"/>
    <w:rsid w:val="005C7CBF"/>
    <w:rsid w:val="005D419B"/>
    <w:rsid w:val="005D4F82"/>
    <w:rsid w:val="005E1331"/>
    <w:rsid w:val="005E13D5"/>
    <w:rsid w:val="005E18B2"/>
    <w:rsid w:val="005E6D51"/>
    <w:rsid w:val="005E71F5"/>
    <w:rsid w:val="005F0057"/>
    <w:rsid w:val="005F2A70"/>
    <w:rsid w:val="005F58A8"/>
    <w:rsid w:val="005F71A2"/>
    <w:rsid w:val="005F74D1"/>
    <w:rsid w:val="005F74D7"/>
    <w:rsid w:val="00601AD2"/>
    <w:rsid w:val="00602CE2"/>
    <w:rsid w:val="00602D2E"/>
    <w:rsid w:val="00605A30"/>
    <w:rsid w:val="006078F7"/>
    <w:rsid w:val="00610BF8"/>
    <w:rsid w:val="00615A00"/>
    <w:rsid w:val="00621A1D"/>
    <w:rsid w:val="00622DCC"/>
    <w:rsid w:val="00632F92"/>
    <w:rsid w:val="00633E25"/>
    <w:rsid w:val="006344B0"/>
    <w:rsid w:val="00637FB7"/>
    <w:rsid w:val="00641322"/>
    <w:rsid w:val="00641DA5"/>
    <w:rsid w:val="006428C3"/>
    <w:rsid w:val="00645403"/>
    <w:rsid w:val="00646191"/>
    <w:rsid w:val="00647816"/>
    <w:rsid w:val="006519FD"/>
    <w:rsid w:val="0065400C"/>
    <w:rsid w:val="00657396"/>
    <w:rsid w:val="00660353"/>
    <w:rsid w:val="006606A3"/>
    <w:rsid w:val="006650E2"/>
    <w:rsid w:val="006721F4"/>
    <w:rsid w:val="00673A02"/>
    <w:rsid w:val="0067659F"/>
    <w:rsid w:val="00677076"/>
    <w:rsid w:val="00680551"/>
    <w:rsid w:val="0068125D"/>
    <w:rsid w:val="00681B0A"/>
    <w:rsid w:val="00686EF6"/>
    <w:rsid w:val="00690DB9"/>
    <w:rsid w:val="00690FA6"/>
    <w:rsid w:val="00692509"/>
    <w:rsid w:val="00694837"/>
    <w:rsid w:val="00695392"/>
    <w:rsid w:val="00697E39"/>
    <w:rsid w:val="006A05CB"/>
    <w:rsid w:val="006A26B8"/>
    <w:rsid w:val="006A4D56"/>
    <w:rsid w:val="006A4F5A"/>
    <w:rsid w:val="006A5F8B"/>
    <w:rsid w:val="006A6F13"/>
    <w:rsid w:val="006B04A9"/>
    <w:rsid w:val="006B5E1F"/>
    <w:rsid w:val="006B6695"/>
    <w:rsid w:val="006C2341"/>
    <w:rsid w:val="006C4528"/>
    <w:rsid w:val="006C4909"/>
    <w:rsid w:val="006C7C75"/>
    <w:rsid w:val="006C7E14"/>
    <w:rsid w:val="006D1CE1"/>
    <w:rsid w:val="006D201F"/>
    <w:rsid w:val="006D71AF"/>
    <w:rsid w:val="006D7255"/>
    <w:rsid w:val="006E0981"/>
    <w:rsid w:val="006E790A"/>
    <w:rsid w:val="006E799B"/>
    <w:rsid w:val="006F0D07"/>
    <w:rsid w:val="006F23F9"/>
    <w:rsid w:val="006F3BB7"/>
    <w:rsid w:val="006F4D9F"/>
    <w:rsid w:val="006F5314"/>
    <w:rsid w:val="006F575E"/>
    <w:rsid w:val="00700FA7"/>
    <w:rsid w:val="00704D16"/>
    <w:rsid w:val="00704F96"/>
    <w:rsid w:val="007057CE"/>
    <w:rsid w:val="00706D5F"/>
    <w:rsid w:val="007106EF"/>
    <w:rsid w:val="00711A8A"/>
    <w:rsid w:val="007148FC"/>
    <w:rsid w:val="0071604B"/>
    <w:rsid w:val="00720409"/>
    <w:rsid w:val="0072091C"/>
    <w:rsid w:val="0072208B"/>
    <w:rsid w:val="007231F1"/>
    <w:rsid w:val="007240F3"/>
    <w:rsid w:val="00724FA5"/>
    <w:rsid w:val="00725307"/>
    <w:rsid w:val="007264BD"/>
    <w:rsid w:val="00727D2D"/>
    <w:rsid w:val="00731318"/>
    <w:rsid w:val="00732F76"/>
    <w:rsid w:val="0073416E"/>
    <w:rsid w:val="00735DFD"/>
    <w:rsid w:val="007379B1"/>
    <w:rsid w:val="007403F4"/>
    <w:rsid w:val="00745343"/>
    <w:rsid w:val="007506BE"/>
    <w:rsid w:val="007519AE"/>
    <w:rsid w:val="00763666"/>
    <w:rsid w:val="00764698"/>
    <w:rsid w:val="00765889"/>
    <w:rsid w:val="00766539"/>
    <w:rsid w:val="00766F24"/>
    <w:rsid w:val="00767C5F"/>
    <w:rsid w:val="00771FEB"/>
    <w:rsid w:val="0077222D"/>
    <w:rsid w:val="00777419"/>
    <w:rsid w:val="00790308"/>
    <w:rsid w:val="007937BC"/>
    <w:rsid w:val="007975C1"/>
    <w:rsid w:val="007A1E66"/>
    <w:rsid w:val="007A2E89"/>
    <w:rsid w:val="007B160A"/>
    <w:rsid w:val="007C1D53"/>
    <w:rsid w:val="007C31E9"/>
    <w:rsid w:val="007C42F4"/>
    <w:rsid w:val="007C48DC"/>
    <w:rsid w:val="007D0934"/>
    <w:rsid w:val="007D12F5"/>
    <w:rsid w:val="007D4E3D"/>
    <w:rsid w:val="007D52C9"/>
    <w:rsid w:val="007D6118"/>
    <w:rsid w:val="007D6EBA"/>
    <w:rsid w:val="007D71FC"/>
    <w:rsid w:val="007E0BDB"/>
    <w:rsid w:val="007E20B1"/>
    <w:rsid w:val="007E4008"/>
    <w:rsid w:val="007E433E"/>
    <w:rsid w:val="007E54B4"/>
    <w:rsid w:val="007E6BD4"/>
    <w:rsid w:val="007F087F"/>
    <w:rsid w:val="007F0DC3"/>
    <w:rsid w:val="007F2630"/>
    <w:rsid w:val="007F4D18"/>
    <w:rsid w:val="007F5736"/>
    <w:rsid w:val="00802798"/>
    <w:rsid w:val="008029E2"/>
    <w:rsid w:val="00806344"/>
    <w:rsid w:val="008069FA"/>
    <w:rsid w:val="00807E6C"/>
    <w:rsid w:val="00813C58"/>
    <w:rsid w:val="00816AFD"/>
    <w:rsid w:val="00823676"/>
    <w:rsid w:val="008254A0"/>
    <w:rsid w:val="008272B0"/>
    <w:rsid w:val="00831964"/>
    <w:rsid w:val="00831C7F"/>
    <w:rsid w:val="00832E85"/>
    <w:rsid w:val="00834694"/>
    <w:rsid w:val="00836700"/>
    <w:rsid w:val="0084034D"/>
    <w:rsid w:val="00840778"/>
    <w:rsid w:val="00841711"/>
    <w:rsid w:val="008478FD"/>
    <w:rsid w:val="0085019B"/>
    <w:rsid w:val="008522D5"/>
    <w:rsid w:val="00852B87"/>
    <w:rsid w:val="008538B9"/>
    <w:rsid w:val="00862501"/>
    <w:rsid w:val="00862CB2"/>
    <w:rsid w:val="008644EE"/>
    <w:rsid w:val="00864EDC"/>
    <w:rsid w:val="00865C36"/>
    <w:rsid w:val="00865C8A"/>
    <w:rsid w:val="008660B6"/>
    <w:rsid w:val="008670C5"/>
    <w:rsid w:val="00867B28"/>
    <w:rsid w:val="00870732"/>
    <w:rsid w:val="0087604D"/>
    <w:rsid w:val="00877D19"/>
    <w:rsid w:val="00884A1F"/>
    <w:rsid w:val="00886A3C"/>
    <w:rsid w:val="00887440"/>
    <w:rsid w:val="008923ED"/>
    <w:rsid w:val="008A1C97"/>
    <w:rsid w:val="008A2FC9"/>
    <w:rsid w:val="008A5AB0"/>
    <w:rsid w:val="008B3BC4"/>
    <w:rsid w:val="008B66E9"/>
    <w:rsid w:val="008B7F90"/>
    <w:rsid w:val="008C1422"/>
    <w:rsid w:val="008C3D86"/>
    <w:rsid w:val="008C4CC9"/>
    <w:rsid w:val="008C52FB"/>
    <w:rsid w:val="008D136C"/>
    <w:rsid w:val="008D2AED"/>
    <w:rsid w:val="008D3550"/>
    <w:rsid w:val="008D715F"/>
    <w:rsid w:val="008E016E"/>
    <w:rsid w:val="008E03DB"/>
    <w:rsid w:val="008F0444"/>
    <w:rsid w:val="008F27DF"/>
    <w:rsid w:val="008F2DCE"/>
    <w:rsid w:val="008F3825"/>
    <w:rsid w:val="008F3B56"/>
    <w:rsid w:val="008F6FF5"/>
    <w:rsid w:val="0090198E"/>
    <w:rsid w:val="00903FD7"/>
    <w:rsid w:val="00904040"/>
    <w:rsid w:val="00906A72"/>
    <w:rsid w:val="00907D1A"/>
    <w:rsid w:val="00911826"/>
    <w:rsid w:val="00912D24"/>
    <w:rsid w:val="00912F9B"/>
    <w:rsid w:val="009147AD"/>
    <w:rsid w:val="0091499C"/>
    <w:rsid w:val="009162DF"/>
    <w:rsid w:val="00916D8D"/>
    <w:rsid w:val="009210E4"/>
    <w:rsid w:val="009230FE"/>
    <w:rsid w:val="00925937"/>
    <w:rsid w:val="00926A57"/>
    <w:rsid w:val="009274E7"/>
    <w:rsid w:val="0092780A"/>
    <w:rsid w:val="00934A56"/>
    <w:rsid w:val="00935A8C"/>
    <w:rsid w:val="00937114"/>
    <w:rsid w:val="00940AAF"/>
    <w:rsid w:val="00941E69"/>
    <w:rsid w:val="00942815"/>
    <w:rsid w:val="00942B47"/>
    <w:rsid w:val="0094545E"/>
    <w:rsid w:val="00945D63"/>
    <w:rsid w:val="00946CAA"/>
    <w:rsid w:val="00947322"/>
    <w:rsid w:val="0094747A"/>
    <w:rsid w:val="00950335"/>
    <w:rsid w:val="0095060C"/>
    <w:rsid w:val="00951057"/>
    <w:rsid w:val="00955F44"/>
    <w:rsid w:val="009562CE"/>
    <w:rsid w:val="00956B63"/>
    <w:rsid w:val="009614A6"/>
    <w:rsid w:val="009645D6"/>
    <w:rsid w:val="00967B08"/>
    <w:rsid w:val="009746C5"/>
    <w:rsid w:val="009803C7"/>
    <w:rsid w:val="00986940"/>
    <w:rsid w:val="00987C73"/>
    <w:rsid w:val="00991C65"/>
    <w:rsid w:val="009941D2"/>
    <w:rsid w:val="009943E0"/>
    <w:rsid w:val="00996BD6"/>
    <w:rsid w:val="009A25FB"/>
    <w:rsid w:val="009A3641"/>
    <w:rsid w:val="009A3878"/>
    <w:rsid w:val="009A58E9"/>
    <w:rsid w:val="009A60A5"/>
    <w:rsid w:val="009A6F3B"/>
    <w:rsid w:val="009A7EB0"/>
    <w:rsid w:val="009B56BA"/>
    <w:rsid w:val="009C0650"/>
    <w:rsid w:val="009C103B"/>
    <w:rsid w:val="009C1F7F"/>
    <w:rsid w:val="009C31DA"/>
    <w:rsid w:val="009C377D"/>
    <w:rsid w:val="009C41A8"/>
    <w:rsid w:val="009C489E"/>
    <w:rsid w:val="009C72B0"/>
    <w:rsid w:val="009C7364"/>
    <w:rsid w:val="009C76D5"/>
    <w:rsid w:val="009D33EB"/>
    <w:rsid w:val="009D4A45"/>
    <w:rsid w:val="009D5474"/>
    <w:rsid w:val="009E0CF5"/>
    <w:rsid w:val="009E4632"/>
    <w:rsid w:val="009F0C38"/>
    <w:rsid w:val="009F216B"/>
    <w:rsid w:val="009F2A60"/>
    <w:rsid w:val="009F2AE9"/>
    <w:rsid w:val="009F5552"/>
    <w:rsid w:val="00A00438"/>
    <w:rsid w:val="00A0310A"/>
    <w:rsid w:val="00A05D82"/>
    <w:rsid w:val="00A101C5"/>
    <w:rsid w:val="00A10D20"/>
    <w:rsid w:val="00A14305"/>
    <w:rsid w:val="00A1455E"/>
    <w:rsid w:val="00A14A1A"/>
    <w:rsid w:val="00A16926"/>
    <w:rsid w:val="00A17358"/>
    <w:rsid w:val="00A17CE6"/>
    <w:rsid w:val="00A20CC8"/>
    <w:rsid w:val="00A21241"/>
    <w:rsid w:val="00A22796"/>
    <w:rsid w:val="00A251CC"/>
    <w:rsid w:val="00A27501"/>
    <w:rsid w:val="00A34F1C"/>
    <w:rsid w:val="00A34F33"/>
    <w:rsid w:val="00A366CC"/>
    <w:rsid w:val="00A36809"/>
    <w:rsid w:val="00A36AB1"/>
    <w:rsid w:val="00A4391F"/>
    <w:rsid w:val="00A5025B"/>
    <w:rsid w:val="00A513D2"/>
    <w:rsid w:val="00A51F98"/>
    <w:rsid w:val="00A52BCB"/>
    <w:rsid w:val="00A5542D"/>
    <w:rsid w:val="00A55FA6"/>
    <w:rsid w:val="00A57133"/>
    <w:rsid w:val="00A6051E"/>
    <w:rsid w:val="00A60CA4"/>
    <w:rsid w:val="00A61520"/>
    <w:rsid w:val="00A621C8"/>
    <w:rsid w:val="00A67704"/>
    <w:rsid w:val="00A7015E"/>
    <w:rsid w:val="00A70EEF"/>
    <w:rsid w:val="00A74462"/>
    <w:rsid w:val="00A76685"/>
    <w:rsid w:val="00A77C05"/>
    <w:rsid w:val="00A8241E"/>
    <w:rsid w:val="00A8245E"/>
    <w:rsid w:val="00A83377"/>
    <w:rsid w:val="00A84F51"/>
    <w:rsid w:val="00A854A9"/>
    <w:rsid w:val="00A858B8"/>
    <w:rsid w:val="00A91E90"/>
    <w:rsid w:val="00A92863"/>
    <w:rsid w:val="00A92ED0"/>
    <w:rsid w:val="00A95A72"/>
    <w:rsid w:val="00A9703B"/>
    <w:rsid w:val="00A97B8E"/>
    <w:rsid w:val="00AA0477"/>
    <w:rsid w:val="00AA229D"/>
    <w:rsid w:val="00AA2D44"/>
    <w:rsid w:val="00AB6CB9"/>
    <w:rsid w:val="00AC121C"/>
    <w:rsid w:val="00AC7606"/>
    <w:rsid w:val="00AD1F8A"/>
    <w:rsid w:val="00AD31E7"/>
    <w:rsid w:val="00AD3E58"/>
    <w:rsid w:val="00AD47F1"/>
    <w:rsid w:val="00AD4A55"/>
    <w:rsid w:val="00AD4ADE"/>
    <w:rsid w:val="00AD76D7"/>
    <w:rsid w:val="00AE053D"/>
    <w:rsid w:val="00AE2498"/>
    <w:rsid w:val="00AE7D64"/>
    <w:rsid w:val="00AF0C27"/>
    <w:rsid w:val="00AF22DE"/>
    <w:rsid w:val="00AF376A"/>
    <w:rsid w:val="00AF3EB9"/>
    <w:rsid w:val="00AF3F9A"/>
    <w:rsid w:val="00AF4ED7"/>
    <w:rsid w:val="00AF580E"/>
    <w:rsid w:val="00AF5877"/>
    <w:rsid w:val="00B000FB"/>
    <w:rsid w:val="00B0015C"/>
    <w:rsid w:val="00B02609"/>
    <w:rsid w:val="00B026F6"/>
    <w:rsid w:val="00B05EDA"/>
    <w:rsid w:val="00B11678"/>
    <w:rsid w:val="00B13812"/>
    <w:rsid w:val="00B2011A"/>
    <w:rsid w:val="00B2640C"/>
    <w:rsid w:val="00B27992"/>
    <w:rsid w:val="00B35CA0"/>
    <w:rsid w:val="00B46A86"/>
    <w:rsid w:val="00B4700D"/>
    <w:rsid w:val="00B63309"/>
    <w:rsid w:val="00B66AAD"/>
    <w:rsid w:val="00B71D65"/>
    <w:rsid w:val="00B72C1F"/>
    <w:rsid w:val="00B72FF5"/>
    <w:rsid w:val="00B77A41"/>
    <w:rsid w:val="00B82817"/>
    <w:rsid w:val="00B85525"/>
    <w:rsid w:val="00B91356"/>
    <w:rsid w:val="00B94C86"/>
    <w:rsid w:val="00B95119"/>
    <w:rsid w:val="00B97DC5"/>
    <w:rsid w:val="00BA1400"/>
    <w:rsid w:val="00BA202B"/>
    <w:rsid w:val="00BA31C8"/>
    <w:rsid w:val="00BA343E"/>
    <w:rsid w:val="00BA59D4"/>
    <w:rsid w:val="00BA6C70"/>
    <w:rsid w:val="00BB1BE7"/>
    <w:rsid w:val="00BB2DE4"/>
    <w:rsid w:val="00BB3018"/>
    <w:rsid w:val="00BB45C6"/>
    <w:rsid w:val="00BB59DF"/>
    <w:rsid w:val="00BC0258"/>
    <w:rsid w:val="00BC086D"/>
    <w:rsid w:val="00BC1B87"/>
    <w:rsid w:val="00BC2351"/>
    <w:rsid w:val="00BC2459"/>
    <w:rsid w:val="00BC6C04"/>
    <w:rsid w:val="00BD1E70"/>
    <w:rsid w:val="00BD28A5"/>
    <w:rsid w:val="00BD2ECA"/>
    <w:rsid w:val="00BD7911"/>
    <w:rsid w:val="00BE04C0"/>
    <w:rsid w:val="00BE074B"/>
    <w:rsid w:val="00BE0A6D"/>
    <w:rsid w:val="00BE1C04"/>
    <w:rsid w:val="00BE2F3F"/>
    <w:rsid w:val="00BE548A"/>
    <w:rsid w:val="00BE7957"/>
    <w:rsid w:val="00BF183D"/>
    <w:rsid w:val="00BF22F4"/>
    <w:rsid w:val="00BF23A7"/>
    <w:rsid w:val="00BF25B4"/>
    <w:rsid w:val="00BF2746"/>
    <w:rsid w:val="00BF39BA"/>
    <w:rsid w:val="00BF7F08"/>
    <w:rsid w:val="00C007E9"/>
    <w:rsid w:val="00C0130F"/>
    <w:rsid w:val="00C0248B"/>
    <w:rsid w:val="00C0249A"/>
    <w:rsid w:val="00C04A1C"/>
    <w:rsid w:val="00C05014"/>
    <w:rsid w:val="00C05662"/>
    <w:rsid w:val="00C0763C"/>
    <w:rsid w:val="00C0778C"/>
    <w:rsid w:val="00C120CD"/>
    <w:rsid w:val="00C167C2"/>
    <w:rsid w:val="00C16D78"/>
    <w:rsid w:val="00C174CA"/>
    <w:rsid w:val="00C2277A"/>
    <w:rsid w:val="00C24DA3"/>
    <w:rsid w:val="00C266E3"/>
    <w:rsid w:val="00C3190F"/>
    <w:rsid w:val="00C322A0"/>
    <w:rsid w:val="00C331F5"/>
    <w:rsid w:val="00C341FD"/>
    <w:rsid w:val="00C35F21"/>
    <w:rsid w:val="00C436A9"/>
    <w:rsid w:val="00C440A5"/>
    <w:rsid w:val="00C444E6"/>
    <w:rsid w:val="00C44552"/>
    <w:rsid w:val="00C50760"/>
    <w:rsid w:val="00C51441"/>
    <w:rsid w:val="00C51D76"/>
    <w:rsid w:val="00C5427C"/>
    <w:rsid w:val="00C5651B"/>
    <w:rsid w:val="00C56668"/>
    <w:rsid w:val="00C6217B"/>
    <w:rsid w:val="00C6311F"/>
    <w:rsid w:val="00C670AF"/>
    <w:rsid w:val="00C67ADF"/>
    <w:rsid w:val="00C67C38"/>
    <w:rsid w:val="00C72063"/>
    <w:rsid w:val="00C72BC9"/>
    <w:rsid w:val="00C733CE"/>
    <w:rsid w:val="00C7771C"/>
    <w:rsid w:val="00C85EE0"/>
    <w:rsid w:val="00C865C4"/>
    <w:rsid w:val="00C93440"/>
    <w:rsid w:val="00C953FC"/>
    <w:rsid w:val="00C96F74"/>
    <w:rsid w:val="00CA06BD"/>
    <w:rsid w:val="00CA22A8"/>
    <w:rsid w:val="00CA59DF"/>
    <w:rsid w:val="00CB0D28"/>
    <w:rsid w:val="00CB2C5A"/>
    <w:rsid w:val="00CC1678"/>
    <w:rsid w:val="00CC25F0"/>
    <w:rsid w:val="00CC43F8"/>
    <w:rsid w:val="00CC7208"/>
    <w:rsid w:val="00CC7C54"/>
    <w:rsid w:val="00CC7FAC"/>
    <w:rsid w:val="00CD0469"/>
    <w:rsid w:val="00CD1BF5"/>
    <w:rsid w:val="00CD66E2"/>
    <w:rsid w:val="00CE05E7"/>
    <w:rsid w:val="00CE1A25"/>
    <w:rsid w:val="00CE34E0"/>
    <w:rsid w:val="00CE355A"/>
    <w:rsid w:val="00CE3902"/>
    <w:rsid w:val="00CF19C3"/>
    <w:rsid w:val="00CF4821"/>
    <w:rsid w:val="00D01A3A"/>
    <w:rsid w:val="00D03D56"/>
    <w:rsid w:val="00D04450"/>
    <w:rsid w:val="00D05962"/>
    <w:rsid w:val="00D05F4B"/>
    <w:rsid w:val="00D06B8B"/>
    <w:rsid w:val="00D11C4F"/>
    <w:rsid w:val="00D12267"/>
    <w:rsid w:val="00D12D53"/>
    <w:rsid w:val="00D14909"/>
    <w:rsid w:val="00D160F3"/>
    <w:rsid w:val="00D163DA"/>
    <w:rsid w:val="00D2258A"/>
    <w:rsid w:val="00D250A8"/>
    <w:rsid w:val="00D2547E"/>
    <w:rsid w:val="00D25E13"/>
    <w:rsid w:val="00D26808"/>
    <w:rsid w:val="00D300B9"/>
    <w:rsid w:val="00D304D8"/>
    <w:rsid w:val="00D31498"/>
    <w:rsid w:val="00D31CEE"/>
    <w:rsid w:val="00D33A70"/>
    <w:rsid w:val="00D3433E"/>
    <w:rsid w:val="00D343AB"/>
    <w:rsid w:val="00D34442"/>
    <w:rsid w:val="00D41BDF"/>
    <w:rsid w:val="00D41FE1"/>
    <w:rsid w:val="00D422A5"/>
    <w:rsid w:val="00D42824"/>
    <w:rsid w:val="00D4316D"/>
    <w:rsid w:val="00D43EC8"/>
    <w:rsid w:val="00D457AF"/>
    <w:rsid w:val="00D46AE1"/>
    <w:rsid w:val="00D47312"/>
    <w:rsid w:val="00D51F8C"/>
    <w:rsid w:val="00D52961"/>
    <w:rsid w:val="00D53587"/>
    <w:rsid w:val="00D536CA"/>
    <w:rsid w:val="00D5429C"/>
    <w:rsid w:val="00D5525E"/>
    <w:rsid w:val="00D57882"/>
    <w:rsid w:val="00D60744"/>
    <w:rsid w:val="00D6082B"/>
    <w:rsid w:val="00D61D46"/>
    <w:rsid w:val="00D63838"/>
    <w:rsid w:val="00D64D29"/>
    <w:rsid w:val="00D6507A"/>
    <w:rsid w:val="00D65C35"/>
    <w:rsid w:val="00D65E09"/>
    <w:rsid w:val="00D73724"/>
    <w:rsid w:val="00D73BCB"/>
    <w:rsid w:val="00D76337"/>
    <w:rsid w:val="00D77706"/>
    <w:rsid w:val="00D80B1C"/>
    <w:rsid w:val="00D83F1E"/>
    <w:rsid w:val="00D84BC0"/>
    <w:rsid w:val="00D87CFC"/>
    <w:rsid w:val="00D9008F"/>
    <w:rsid w:val="00D924E7"/>
    <w:rsid w:val="00D9259E"/>
    <w:rsid w:val="00D9561A"/>
    <w:rsid w:val="00D958E2"/>
    <w:rsid w:val="00D96ECF"/>
    <w:rsid w:val="00DA1B22"/>
    <w:rsid w:val="00DA2065"/>
    <w:rsid w:val="00DA3CCF"/>
    <w:rsid w:val="00DA50A0"/>
    <w:rsid w:val="00DB0ECB"/>
    <w:rsid w:val="00DB12EE"/>
    <w:rsid w:val="00DB19C7"/>
    <w:rsid w:val="00DB1A0B"/>
    <w:rsid w:val="00DB1B45"/>
    <w:rsid w:val="00DB2C37"/>
    <w:rsid w:val="00DB4B70"/>
    <w:rsid w:val="00DB5395"/>
    <w:rsid w:val="00DB6B24"/>
    <w:rsid w:val="00DC0C91"/>
    <w:rsid w:val="00DC1BD6"/>
    <w:rsid w:val="00DC21F6"/>
    <w:rsid w:val="00DC4979"/>
    <w:rsid w:val="00DC6244"/>
    <w:rsid w:val="00DC6980"/>
    <w:rsid w:val="00DC6BE7"/>
    <w:rsid w:val="00DD09AB"/>
    <w:rsid w:val="00DD53DE"/>
    <w:rsid w:val="00DD7291"/>
    <w:rsid w:val="00DD7861"/>
    <w:rsid w:val="00DE2DFB"/>
    <w:rsid w:val="00DE4AF2"/>
    <w:rsid w:val="00DE640A"/>
    <w:rsid w:val="00DE7B25"/>
    <w:rsid w:val="00DF1C47"/>
    <w:rsid w:val="00DF4893"/>
    <w:rsid w:val="00DF5058"/>
    <w:rsid w:val="00DF5063"/>
    <w:rsid w:val="00DF51A2"/>
    <w:rsid w:val="00E001A3"/>
    <w:rsid w:val="00E008C7"/>
    <w:rsid w:val="00E017B9"/>
    <w:rsid w:val="00E06D15"/>
    <w:rsid w:val="00E106C9"/>
    <w:rsid w:val="00E10803"/>
    <w:rsid w:val="00E13FB0"/>
    <w:rsid w:val="00E15B0E"/>
    <w:rsid w:val="00E17438"/>
    <w:rsid w:val="00E17834"/>
    <w:rsid w:val="00E17AD8"/>
    <w:rsid w:val="00E17CBD"/>
    <w:rsid w:val="00E2009C"/>
    <w:rsid w:val="00E209FA"/>
    <w:rsid w:val="00E20BA0"/>
    <w:rsid w:val="00E2130C"/>
    <w:rsid w:val="00E24D01"/>
    <w:rsid w:val="00E24E6B"/>
    <w:rsid w:val="00E25AE7"/>
    <w:rsid w:val="00E344C7"/>
    <w:rsid w:val="00E344E4"/>
    <w:rsid w:val="00E40DE9"/>
    <w:rsid w:val="00E417AD"/>
    <w:rsid w:val="00E42D8A"/>
    <w:rsid w:val="00E460D5"/>
    <w:rsid w:val="00E477E9"/>
    <w:rsid w:val="00E52ED0"/>
    <w:rsid w:val="00E533FE"/>
    <w:rsid w:val="00E53531"/>
    <w:rsid w:val="00E55D80"/>
    <w:rsid w:val="00E568BA"/>
    <w:rsid w:val="00E61654"/>
    <w:rsid w:val="00E62656"/>
    <w:rsid w:val="00E63554"/>
    <w:rsid w:val="00E6564B"/>
    <w:rsid w:val="00E65E2F"/>
    <w:rsid w:val="00E7158C"/>
    <w:rsid w:val="00E72A10"/>
    <w:rsid w:val="00E77100"/>
    <w:rsid w:val="00E8012C"/>
    <w:rsid w:val="00E85EC5"/>
    <w:rsid w:val="00E86671"/>
    <w:rsid w:val="00E93A28"/>
    <w:rsid w:val="00EA18F5"/>
    <w:rsid w:val="00EA21F4"/>
    <w:rsid w:val="00EA3333"/>
    <w:rsid w:val="00EA68EC"/>
    <w:rsid w:val="00EA6A81"/>
    <w:rsid w:val="00EB0308"/>
    <w:rsid w:val="00EB0F8D"/>
    <w:rsid w:val="00EB166F"/>
    <w:rsid w:val="00EC1DDA"/>
    <w:rsid w:val="00EC370F"/>
    <w:rsid w:val="00EC5580"/>
    <w:rsid w:val="00EC65B6"/>
    <w:rsid w:val="00ED4455"/>
    <w:rsid w:val="00ED587D"/>
    <w:rsid w:val="00ED5DFE"/>
    <w:rsid w:val="00ED5F94"/>
    <w:rsid w:val="00ED6184"/>
    <w:rsid w:val="00EE56DF"/>
    <w:rsid w:val="00EE5786"/>
    <w:rsid w:val="00EE6C3C"/>
    <w:rsid w:val="00EF117B"/>
    <w:rsid w:val="00EF23BD"/>
    <w:rsid w:val="00EF29EE"/>
    <w:rsid w:val="00EF51E9"/>
    <w:rsid w:val="00EF6D0B"/>
    <w:rsid w:val="00F024A6"/>
    <w:rsid w:val="00F05584"/>
    <w:rsid w:val="00F10661"/>
    <w:rsid w:val="00F117AA"/>
    <w:rsid w:val="00F122BF"/>
    <w:rsid w:val="00F14461"/>
    <w:rsid w:val="00F151A3"/>
    <w:rsid w:val="00F17887"/>
    <w:rsid w:val="00F204AD"/>
    <w:rsid w:val="00F20A48"/>
    <w:rsid w:val="00F2118E"/>
    <w:rsid w:val="00F23CE2"/>
    <w:rsid w:val="00F3115C"/>
    <w:rsid w:val="00F31C58"/>
    <w:rsid w:val="00F32217"/>
    <w:rsid w:val="00F34442"/>
    <w:rsid w:val="00F400B1"/>
    <w:rsid w:val="00F40611"/>
    <w:rsid w:val="00F4513E"/>
    <w:rsid w:val="00F45A9F"/>
    <w:rsid w:val="00F46C6D"/>
    <w:rsid w:val="00F50890"/>
    <w:rsid w:val="00F50C8D"/>
    <w:rsid w:val="00F515AC"/>
    <w:rsid w:val="00F561B1"/>
    <w:rsid w:val="00F566C7"/>
    <w:rsid w:val="00F62A03"/>
    <w:rsid w:val="00F63554"/>
    <w:rsid w:val="00F6459A"/>
    <w:rsid w:val="00F67155"/>
    <w:rsid w:val="00F67587"/>
    <w:rsid w:val="00F67616"/>
    <w:rsid w:val="00F67ADA"/>
    <w:rsid w:val="00F71537"/>
    <w:rsid w:val="00F71CB5"/>
    <w:rsid w:val="00F80E61"/>
    <w:rsid w:val="00F8140E"/>
    <w:rsid w:val="00F826B7"/>
    <w:rsid w:val="00F82B79"/>
    <w:rsid w:val="00F86D17"/>
    <w:rsid w:val="00F87928"/>
    <w:rsid w:val="00F961BC"/>
    <w:rsid w:val="00F97B40"/>
    <w:rsid w:val="00FA132F"/>
    <w:rsid w:val="00FA2467"/>
    <w:rsid w:val="00FA5125"/>
    <w:rsid w:val="00FA652D"/>
    <w:rsid w:val="00FB0038"/>
    <w:rsid w:val="00FB4602"/>
    <w:rsid w:val="00FB46F1"/>
    <w:rsid w:val="00FB49DA"/>
    <w:rsid w:val="00FB503B"/>
    <w:rsid w:val="00FB6B7F"/>
    <w:rsid w:val="00FC17D4"/>
    <w:rsid w:val="00FC1DEF"/>
    <w:rsid w:val="00FC23E6"/>
    <w:rsid w:val="00FC2B5B"/>
    <w:rsid w:val="00FC2ECA"/>
    <w:rsid w:val="00FC4A11"/>
    <w:rsid w:val="00FC531B"/>
    <w:rsid w:val="00FD2903"/>
    <w:rsid w:val="00FD2E7B"/>
    <w:rsid w:val="00FD40E5"/>
    <w:rsid w:val="00FD6985"/>
    <w:rsid w:val="00FD73E0"/>
    <w:rsid w:val="00FE168A"/>
    <w:rsid w:val="00FE60A1"/>
    <w:rsid w:val="00FE6B29"/>
    <w:rsid w:val="00FE7385"/>
    <w:rsid w:val="00FE754D"/>
    <w:rsid w:val="00FF1D8E"/>
    <w:rsid w:val="00FF5969"/>
    <w:rsid w:val="00FF6FA9"/>
    <w:rsid w:val="00FF7B4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9BB1795"/>
  <w15:docId w15:val="{778B9EF6-5076-43BC-87D6-7ACA5236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lang w:val="en-US" w:eastAsia="en-US" w:bidi="hi-I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3F9"/>
    <w:rPr>
      <w:sz w:val="24"/>
      <w:szCs w:val="24"/>
      <w:lang w:bidi="ar-SA"/>
    </w:rPr>
  </w:style>
  <w:style w:type="paragraph" w:styleId="Heading1">
    <w:name w:val="heading 1"/>
    <w:basedOn w:val="Normal"/>
    <w:next w:val="Normal"/>
    <w:link w:val="Heading1Char"/>
    <w:qFormat/>
    <w:locked/>
    <w:rsid w:val="002335A3"/>
    <w:pPr>
      <w:keepNext/>
      <w:outlineLvl w:val="0"/>
    </w:pPr>
    <w:rPr>
      <w:b/>
      <w:sz w:val="16"/>
      <w:szCs w:val="20"/>
      <w:lang w:val="en-GB"/>
    </w:rPr>
  </w:style>
  <w:style w:type="paragraph" w:styleId="Heading2">
    <w:name w:val="heading 2"/>
    <w:basedOn w:val="Normal"/>
    <w:next w:val="Normal"/>
    <w:link w:val="Heading2Char"/>
    <w:semiHidden/>
    <w:unhideWhenUsed/>
    <w:qFormat/>
    <w:locked/>
    <w:rsid w:val="00B77A4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nhideWhenUsed/>
    <w:qFormat/>
    <w:locked/>
    <w:rsid w:val="00DC49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35A3"/>
    <w:rPr>
      <w:rFonts w:cs="Times New Roman"/>
      <w:b/>
      <w:sz w:val="16"/>
      <w:lang w:val="en-GB" w:eastAsia="en-US" w:bidi="ar-SA"/>
    </w:rPr>
  </w:style>
  <w:style w:type="table" w:styleId="TableGrid">
    <w:name w:val="Table Grid"/>
    <w:basedOn w:val="TableNormal"/>
    <w:uiPriority w:val="39"/>
    <w:rsid w:val="00457C93"/>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2130C"/>
    <w:rPr>
      <w:rFonts w:ascii="Tahoma" w:hAnsi="Tahoma" w:cs="Tahoma"/>
      <w:sz w:val="16"/>
      <w:szCs w:val="16"/>
    </w:rPr>
  </w:style>
  <w:style w:type="character" w:customStyle="1" w:styleId="BalloonTextChar">
    <w:name w:val="Balloon Text Char"/>
    <w:basedOn w:val="DefaultParagraphFont"/>
    <w:link w:val="BalloonText"/>
    <w:uiPriority w:val="99"/>
    <w:locked/>
    <w:rsid w:val="00E2130C"/>
    <w:rPr>
      <w:rFonts w:ascii="Tahoma" w:hAnsi="Tahoma" w:cs="Tahoma"/>
      <w:sz w:val="16"/>
      <w:szCs w:val="16"/>
    </w:rPr>
  </w:style>
  <w:style w:type="character" w:styleId="CommentReference">
    <w:name w:val="annotation reference"/>
    <w:basedOn w:val="DefaultParagraphFont"/>
    <w:uiPriority w:val="99"/>
    <w:semiHidden/>
    <w:rsid w:val="00184A0F"/>
    <w:rPr>
      <w:rFonts w:cs="Times New Roman"/>
      <w:sz w:val="16"/>
      <w:szCs w:val="16"/>
    </w:rPr>
  </w:style>
  <w:style w:type="paragraph" w:styleId="CommentText">
    <w:name w:val="annotation text"/>
    <w:basedOn w:val="Normal"/>
    <w:link w:val="CommentTextChar"/>
    <w:uiPriority w:val="99"/>
    <w:semiHidden/>
    <w:rsid w:val="00184A0F"/>
    <w:rPr>
      <w:sz w:val="20"/>
      <w:szCs w:val="20"/>
    </w:rPr>
  </w:style>
  <w:style w:type="character" w:customStyle="1" w:styleId="CommentTextChar">
    <w:name w:val="Comment Text Char"/>
    <w:basedOn w:val="DefaultParagraphFont"/>
    <w:link w:val="CommentText"/>
    <w:uiPriority w:val="99"/>
    <w:semiHidden/>
    <w:locked/>
    <w:rsid w:val="00865C8A"/>
    <w:rPr>
      <w:rFonts w:cs="Times New Roman"/>
      <w:sz w:val="20"/>
      <w:szCs w:val="20"/>
    </w:rPr>
  </w:style>
  <w:style w:type="paragraph" w:styleId="CommentSubject">
    <w:name w:val="annotation subject"/>
    <w:basedOn w:val="CommentText"/>
    <w:next w:val="CommentText"/>
    <w:link w:val="CommentSubjectChar"/>
    <w:uiPriority w:val="99"/>
    <w:semiHidden/>
    <w:rsid w:val="00184A0F"/>
    <w:rPr>
      <w:b/>
      <w:bCs/>
    </w:rPr>
  </w:style>
  <w:style w:type="character" w:customStyle="1" w:styleId="CommentSubjectChar">
    <w:name w:val="Comment Subject Char"/>
    <w:basedOn w:val="CommentTextChar"/>
    <w:link w:val="CommentSubject"/>
    <w:uiPriority w:val="99"/>
    <w:semiHidden/>
    <w:locked/>
    <w:rsid w:val="00865C8A"/>
    <w:rPr>
      <w:rFonts w:cs="Times New Roman"/>
      <w:b/>
      <w:bCs/>
      <w:sz w:val="20"/>
      <w:szCs w:val="20"/>
    </w:rPr>
  </w:style>
  <w:style w:type="character" w:customStyle="1" w:styleId="Heading4Char">
    <w:name w:val="Heading 4 Char"/>
    <w:basedOn w:val="DefaultParagraphFont"/>
    <w:link w:val="Heading4"/>
    <w:rsid w:val="00DC4979"/>
    <w:rPr>
      <w:rFonts w:asciiTheme="majorHAnsi" w:eastAsiaTheme="majorEastAsia" w:hAnsiTheme="majorHAnsi" w:cstheme="majorBidi"/>
      <w:b/>
      <w:bCs/>
      <w:i/>
      <w:iCs/>
      <w:color w:val="4F81BD" w:themeColor="accent1"/>
      <w:sz w:val="24"/>
      <w:szCs w:val="24"/>
      <w:lang w:bidi="ar-SA"/>
    </w:rPr>
  </w:style>
  <w:style w:type="character" w:styleId="Hyperlink">
    <w:name w:val="Hyperlink"/>
    <w:uiPriority w:val="99"/>
    <w:rsid w:val="00DC4979"/>
    <w:rPr>
      <w:color w:val="0000FF"/>
      <w:u w:val="single"/>
    </w:rPr>
  </w:style>
  <w:style w:type="paragraph" w:styleId="HTMLPreformatted">
    <w:name w:val="HTML Preformatted"/>
    <w:basedOn w:val="Normal"/>
    <w:link w:val="HTMLPreformattedChar"/>
    <w:uiPriority w:val="99"/>
    <w:unhideWhenUsed/>
    <w:rsid w:val="00DC4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C4979"/>
    <w:rPr>
      <w:rFonts w:ascii="Courier New" w:hAnsi="Courier New" w:cs="Courier New"/>
      <w:sz w:val="20"/>
      <w:lang w:bidi="ar-SA"/>
    </w:rPr>
  </w:style>
  <w:style w:type="character" w:customStyle="1" w:styleId="hps">
    <w:name w:val="hps"/>
    <w:basedOn w:val="DefaultParagraphFont"/>
    <w:rsid w:val="004E1A2A"/>
  </w:style>
  <w:style w:type="character" w:customStyle="1" w:styleId="Heading2Char">
    <w:name w:val="Heading 2 Char"/>
    <w:basedOn w:val="DefaultParagraphFont"/>
    <w:link w:val="Heading2"/>
    <w:semiHidden/>
    <w:rsid w:val="00B77A41"/>
    <w:rPr>
      <w:rFonts w:asciiTheme="majorHAnsi" w:eastAsiaTheme="majorEastAsia" w:hAnsiTheme="majorHAnsi" w:cstheme="majorBidi"/>
      <w:color w:val="365F91" w:themeColor="accent1" w:themeShade="BF"/>
      <w:sz w:val="26"/>
      <w:szCs w:val="26"/>
      <w:lang w:bidi="ar-SA"/>
    </w:rPr>
  </w:style>
  <w:style w:type="character" w:customStyle="1" w:styleId="ng-binding">
    <w:name w:val="ng-binding"/>
    <w:basedOn w:val="DefaultParagraphFont"/>
    <w:rsid w:val="00C05662"/>
  </w:style>
  <w:style w:type="paragraph" w:styleId="Header">
    <w:name w:val="header"/>
    <w:basedOn w:val="Normal"/>
    <w:link w:val="HeaderChar"/>
    <w:uiPriority w:val="99"/>
    <w:unhideWhenUsed/>
    <w:rsid w:val="00C05662"/>
    <w:pPr>
      <w:tabs>
        <w:tab w:val="center" w:pos="4680"/>
        <w:tab w:val="right" w:pos="9360"/>
      </w:tabs>
    </w:pPr>
  </w:style>
  <w:style w:type="character" w:customStyle="1" w:styleId="HeaderChar">
    <w:name w:val="Header Char"/>
    <w:basedOn w:val="DefaultParagraphFont"/>
    <w:link w:val="Header"/>
    <w:uiPriority w:val="99"/>
    <w:rsid w:val="00C05662"/>
    <w:rPr>
      <w:sz w:val="24"/>
      <w:szCs w:val="24"/>
      <w:lang w:bidi="ar-SA"/>
    </w:rPr>
  </w:style>
  <w:style w:type="paragraph" w:styleId="Footer">
    <w:name w:val="footer"/>
    <w:basedOn w:val="Normal"/>
    <w:link w:val="FooterChar"/>
    <w:uiPriority w:val="99"/>
    <w:unhideWhenUsed/>
    <w:rsid w:val="00C05662"/>
    <w:pPr>
      <w:tabs>
        <w:tab w:val="center" w:pos="4680"/>
        <w:tab w:val="right" w:pos="9360"/>
      </w:tabs>
    </w:pPr>
  </w:style>
  <w:style w:type="character" w:customStyle="1" w:styleId="FooterChar">
    <w:name w:val="Footer Char"/>
    <w:basedOn w:val="DefaultParagraphFont"/>
    <w:link w:val="Footer"/>
    <w:uiPriority w:val="99"/>
    <w:rsid w:val="00C05662"/>
    <w:rPr>
      <w:sz w:val="24"/>
      <w:szCs w:val="24"/>
      <w:lang w:bidi="ar-SA"/>
    </w:rPr>
  </w:style>
  <w:style w:type="character" w:customStyle="1" w:styleId="y2iqfc">
    <w:name w:val="y2iqfc"/>
    <w:basedOn w:val="DefaultParagraphFont"/>
    <w:rsid w:val="008254A0"/>
  </w:style>
  <w:style w:type="paragraph" w:customStyle="1" w:styleId="Default">
    <w:name w:val="Default"/>
    <w:rsid w:val="00014C36"/>
    <w:pPr>
      <w:autoSpaceDE w:val="0"/>
      <w:autoSpaceDN w:val="0"/>
      <w:adjustRightInd w:val="0"/>
    </w:pPr>
    <w:rPr>
      <w:rFonts w:ascii="Arial" w:hAnsi="Arial" w:cs="Arial"/>
      <w:color w:val="000000"/>
      <w:sz w:val="24"/>
      <w:szCs w:val="24"/>
      <w:lang w:bidi="ar-SA"/>
    </w:rPr>
  </w:style>
  <w:style w:type="paragraph" w:customStyle="1" w:styleId="Pa18">
    <w:name w:val="Pa18"/>
    <w:basedOn w:val="Default"/>
    <w:next w:val="Default"/>
    <w:uiPriority w:val="99"/>
    <w:rsid w:val="00333A8B"/>
    <w:pPr>
      <w:spacing w:line="361" w:lineRule="atLeast"/>
    </w:pPr>
    <w:rPr>
      <w:rFonts w:ascii="Cambria" w:hAnsi="Cambria" w:cs="Times New Roman"/>
      <w:color w:val="auto"/>
    </w:rPr>
  </w:style>
  <w:style w:type="paragraph" w:styleId="DocumentMap">
    <w:name w:val="Document Map"/>
    <w:basedOn w:val="Normal"/>
    <w:link w:val="DocumentMapChar"/>
    <w:uiPriority w:val="99"/>
    <w:semiHidden/>
    <w:unhideWhenUsed/>
    <w:rsid w:val="00B11678"/>
    <w:rPr>
      <w:rFonts w:ascii="Tahoma" w:hAnsi="Tahoma" w:cs="Tahoma"/>
      <w:sz w:val="16"/>
      <w:szCs w:val="16"/>
    </w:rPr>
  </w:style>
  <w:style w:type="character" w:customStyle="1" w:styleId="DocumentMapChar">
    <w:name w:val="Document Map Char"/>
    <w:basedOn w:val="DefaultParagraphFont"/>
    <w:link w:val="DocumentMap"/>
    <w:uiPriority w:val="99"/>
    <w:semiHidden/>
    <w:rsid w:val="00B11678"/>
    <w:rPr>
      <w:rFonts w:ascii="Tahoma" w:hAnsi="Tahoma" w:cs="Tahoma"/>
      <w:sz w:val="16"/>
      <w:szCs w:val="16"/>
      <w:lang w:bidi="ar-SA"/>
    </w:rPr>
  </w:style>
  <w:style w:type="paragraph" w:styleId="NoSpacing">
    <w:name w:val="No Spacing"/>
    <w:uiPriority w:val="1"/>
    <w:qFormat/>
    <w:rsid w:val="00B11678"/>
    <w:rPr>
      <w:sz w:val="24"/>
      <w:szCs w:val="24"/>
      <w:lang w:bidi="ar-SA"/>
    </w:rPr>
  </w:style>
  <w:style w:type="character" w:styleId="SubtleEmphasis">
    <w:name w:val="Subtle Emphasis"/>
    <w:basedOn w:val="DefaultParagraphFont"/>
    <w:uiPriority w:val="19"/>
    <w:qFormat/>
    <w:rsid w:val="000C1023"/>
    <w:rPr>
      <w:i/>
      <w:iCs/>
      <w:color w:val="808080" w:themeColor="text1" w:themeTint="7F"/>
    </w:rPr>
  </w:style>
  <w:style w:type="character" w:customStyle="1" w:styleId="PlainTextChar">
    <w:name w:val="Plain Text Char"/>
    <w:aliases w:val="Char Char"/>
    <w:basedOn w:val="DefaultParagraphFont"/>
    <w:link w:val="PlainText"/>
    <w:locked/>
    <w:rsid w:val="00DC0C91"/>
    <w:rPr>
      <w:rFonts w:ascii="Courier New" w:hAnsi="Courier New"/>
      <w:sz w:val="20"/>
    </w:rPr>
  </w:style>
  <w:style w:type="paragraph" w:styleId="PlainText">
    <w:name w:val="Plain Text"/>
    <w:aliases w:val="Char"/>
    <w:basedOn w:val="Normal"/>
    <w:link w:val="PlainTextChar"/>
    <w:unhideWhenUsed/>
    <w:rsid w:val="00DC0C91"/>
    <w:rPr>
      <w:rFonts w:ascii="Courier New" w:hAnsi="Courier New"/>
      <w:sz w:val="20"/>
      <w:szCs w:val="20"/>
      <w:lang w:bidi="hi-IN"/>
    </w:rPr>
  </w:style>
  <w:style w:type="character" w:customStyle="1" w:styleId="PlainTextChar1">
    <w:name w:val="Plain Text Char1"/>
    <w:basedOn w:val="DefaultParagraphFont"/>
    <w:uiPriority w:val="99"/>
    <w:semiHidden/>
    <w:rsid w:val="00DC0C91"/>
    <w:rPr>
      <w:rFonts w:ascii="Consolas" w:hAnsi="Consolas" w:cs="Consolas"/>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979">
      <w:bodyDiv w:val="1"/>
      <w:marLeft w:val="0"/>
      <w:marRight w:val="0"/>
      <w:marTop w:val="0"/>
      <w:marBottom w:val="0"/>
      <w:divBdr>
        <w:top w:val="none" w:sz="0" w:space="0" w:color="auto"/>
        <w:left w:val="none" w:sz="0" w:space="0" w:color="auto"/>
        <w:bottom w:val="none" w:sz="0" w:space="0" w:color="auto"/>
        <w:right w:val="none" w:sz="0" w:space="0" w:color="auto"/>
      </w:divBdr>
    </w:div>
    <w:div w:id="75563860">
      <w:bodyDiv w:val="1"/>
      <w:marLeft w:val="0"/>
      <w:marRight w:val="0"/>
      <w:marTop w:val="0"/>
      <w:marBottom w:val="0"/>
      <w:divBdr>
        <w:top w:val="none" w:sz="0" w:space="0" w:color="auto"/>
        <w:left w:val="none" w:sz="0" w:space="0" w:color="auto"/>
        <w:bottom w:val="none" w:sz="0" w:space="0" w:color="auto"/>
        <w:right w:val="none" w:sz="0" w:space="0" w:color="auto"/>
      </w:divBdr>
    </w:div>
    <w:div w:id="180322187">
      <w:bodyDiv w:val="1"/>
      <w:marLeft w:val="0"/>
      <w:marRight w:val="0"/>
      <w:marTop w:val="0"/>
      <w:marBottom w:val="0"/>
      <w:divBdr>
        <w:top w:val="none" w:sz="0" w:space="0" w:color="auto"/>
        <w:left w:val="none" w:sz="0" w:space="0" w:color="auto"/>
        <w:bottom w:val="none" w:sz="0" w:space="0" w:color="auto"/>
        <w:right w:val="none" w:sz="0" w:space="0" w:color="auto"/>
      </w:divBdr>
    </w:div>
    <w:div w:id="204026859">
      <w:bodyDiv w:val="1"/>
      <w:marLeft w:val="0"/>
      <w:marRight w:val="0"/>
      <w:marTop w:val="0"/>
      <w:marBottom w:val="0"/>
      <w:divBdr>
        <w:top w:val="none" w:sz="0" w:space="0" w:color="auto"/>
        <w:left w:val="none" w:sz="0" w:space="0" w:color="auto"/>
        <w:bottom w:val="none" w:sz="0" w:space="0" w:color="auto"/>
        <w:right w:val="none" w:sz="0" w:space="0" w:color="auto"/>
      </w:divBdr>
    </w:div>
    <w:div w:id="211623548">
      <w:bodyDiv w:val="1"/>
      <w:marLeft w:val="0"/>
      <w:marRight w:val="0"/>
      <w:marTop w:val="0"/>
      <w:marBottom w:val="0"/>
      <w:divBdr>
        <w:top w:val="none" w:sz="0" w:space="0" w:color="auto"/>
        <w:left w:val="none" w:sz="0" w:space="0" w:color="auto"/>
        <w:bottom w:val="none" w:sz="0" w:space="0" w:color="auto"/>
        <w:right w:val="none" w:sz="0" w:space="0" w:color="auto"/>
      </w:divBdr>
    </w:div>
    <w:div w:id="216363638">
      <w:bodyDiv w:val="1"/>
      <w:marLeft w:val="0"/>
      <w:marRight w:val="0"/>
      <w:marTop w:val="0"/>
      <w:marBottom w:val="0"/>
      <w:divBdr>
        <w:top w:val="none" w:sz="0" w:space="0" w:color="auto"/>
        <w:left w:val="none" w:sz="0" w:space="0" w:color="auto"/>
        <w:bottom w:val="none" w:sz="0" w:space="0" w:color="auto"/>
        <w:right w:val="none" w:sz="0" w:space="0" w:color="auto"/>
      </w:divBdr>
    </w:div>
    <w:div w:id="249169303">
      <w:bodyDiv w:val="1"/>
      <w:marLeft w:val="0"/>
      <w:marRight w:val="0"/>
      <w:marTop w:val="0"/>
      <w:marBottom w:val="0"/>
      <w:divBdr>
        <w:top w:val="none" w:sz="0" w:space="0" w:color="auto"/>
        <w:left w:val="none" w:sz="0" w:space="0" w:color="auto"/>
        <w:bottom w:val="none" w:sz="0" w:space="0" w:color="auto"/>
        <w:right w:val="none" w:sz="0" w:space="0" w:color="auto"/>
      </w:divBdr>
    </w:div>
    <w:div w:id="268198841">
      <w:bodyDiv w:val="1"/>
      <w:marLeft w:val="0"/>
      <w:marRight w:val="0"/>
      <w:marTop w:val="0"/>
      <w:marBottom w:val="0"/>
      <w:divBdr>
        <w:top w:val="none" w:sz="0" w:space="0" w:color="auto"/>
        <w:left w:val="none" w:sz="0" w:space="0" w:color="auto"/>
        <w:bottom w:val="none" w:sz="0" w:space="0" w:color="auto"/>
        <w:right w:val="none" w:sz="0" w:space="0" w:color="auto"/>
      </w:divBdr>
    </w:div>
    <w:div w:id="301926212">
      <w:bodyDiv w:val="1"/>
      <w:marLeft w:val="0"/>
      <w:marRight w:val="0"/>
      <w:marTop w:val="0"/>
      <w:marBottom w:val="0"/>
      <w:divBdr>
        <w:top w:val="none" w:sz="0" w:space="0" w:color="auto"/>
        <w:left w:val="none" w:sz="0" w:space="0" w:color="auto"/>
        <w:bottom w:val="none" w:sz="0" w:space="0" w:color="auto"/>
        <w:right w:val="none" w:sz="0" w:space="0" w:color="auto"/>
      </w:divBdr>
    </w:div>
    <w:div w:id="331298766">
      <w:bodyDiv w:val="1"/>
      <w:marLeft w:val="0"/>
      <w:marRight w:val="0"/>
      <w:marTop w:val="0"/>
      <w:marBottom w:val="0"/>
      <w:divBdr>
        <w:top w:val="none" w:sz="0" w:space="0" w:color="auto"/>
        <w:left w:val="none" w:sz="0" w:space="0" w:color="auto"/>
        <w:bottom w:val="none" w:sz="0" w:space="0" w:color="auto"/>
        <w:right w:val="none" w:sz="0" w:space="0" w:color="auto"/>
      </w:divBdr>
    </w:div>
    <w:div w:id="352997800">
      <w:bodyDiv w:val="1"/>
      <w:marLeft w:val="0"/>
      <w:marRight w:val="0"/>
      <w:marTop w:val="0"/>
      <w:marBottom w:val="0"/>
      <w:divBdr>
        <w:top w:val="none" w:sz="0" w:space="0" w:color="auto"/>
        <w:left w:val="none" w:sz="0" w:space="0" w:color="auto"/>
        <w:bottom w:val="none" w:sz="0" w:space="0" w:color="auto"/>
        <w:right w:val="none" w:sz="0" w:space="0" w:color="auto"/>
      </w:divBdr>
    </w:div>
    <w:div w:id="364141987">
      <w:bodyDiv w:val="1"/>
      <w:marLeft w:val="0"/>
      <w:marRight w:val="0"/>
      <w:marTop w:val="0"/>
      <w:marBottom w:val="0"/>
      <w:divBdr>
        <w:top w:val="none" w:sz="0" w:space="0" w:color="auto"/>
        <w:left w:val="none" w:sz="0" w:space="0" w:color="auto"/>
        <w:bottom w:val="none" w:sz="0" w:space="0" w:color="auto"/>
        <w:right w:val="none" w:sz="0" w:space="0" w:color="auto"/>
      </w:divBdr>
    </w:div>
    <w:div w:id="370303191">
      <w:bodyDiv w:val="1"/>
      <w:marLeft w:val="0"/>
      <w:marRight w:val="0"/>
      <w:marTop w:val="0"/>
      <w:marBottom w:val="0"/>
      <w:divBdr>
        <w:top w:val="none" w:sz="0" w:space="0" w:color="auto"/>
        <w:left w:val="none" w:sz="0" w:space="0" w:color="auto"/>
        <w:bottom w:val="none" w:sz="0" w:space="0" w:color="auto"/>
        <w:right w:val="none" w:sz="0" w:space="0" w:color="auto"/>
      </w:divBdr>
    </w:div>
    <w:div w:id="402291175">
      <w:bodyDiv w:val="1"/>
      <w:marLeft w:val="0"/>
      <w:marRight w:val="0"/>
      <w:marTop w:val="0"/>
      <w:marBottom w:val="0"/>
      <w:divBdr>
        <w:top w:val="none" w:sz="0" w:space="0" w:color="auto"/>
        <w:left w:val="none" w:sz="0" w:space="0" w:color="auto"/>
        <w:bottom w:val="none" w:sz="0" w:space="0" w:color="auto"/>
        <w:right w:val="none" w:sz="0" w:space="0" w:color="auto"/>
      </w:divBdr>
    </w:div>
    <w:div w:id="426388647">
      <w:bodyDiv w:val="1"/>
      <w:marLeft w:val="0"/>
      <w:marRight w:val="0"/>
      <w:marTop w:val="0"/>
      <w:marBottom w:val="0"/>
      <w:divBdr>
        <w:top w:val="none" w:sz="0" w:space="0" w:color="auto"/>
        <w:left w:val="none" w:sz="0" w:space="0" w:color="auto"/>
        <w:bottom w:val="none" w:sz="0" w:space="0" w:color="auto"/>
        <w:right w:val="none" w:sz="0" w:space="0" w:color="auto"/>
      </w:divBdr>
    </w:div>
    <w:div w:id="477186277">
      <w:bodyDiv w:val="1"/>
      <w:marLeft w:val="0"/>
      <w:marRight w:val="0"/>
      <w:marTop w:val="0"/>
      <w:marBottom w:val="0"/>
      <w:divBdr>
        <w:top w:val="none" w:sz="0" w:space="0" w:color="auto"/>
        <w:left w:val="none" w:sz="0" w:space="0" w:color="auto"/>
        <w:bottom w:val="none" w:sz="0" w:space="0" w:color="auto"/>
        <w:right w:val="none" w:sz="0" w:space="0" w:color="auto"/>
      </w:divBdr>
    </w:div>
    <w:div w:id="642274050">
      <w:bodyDiv w:val="1"/>
      <w:marLeft w:val="0"/>
      <w:marRight w:val="0"/>
      <w:marTop w:val="0"/>
      <w:marBottom w:val="0"/>
      <w:divBdr>
        <w:top w:val="none" w:sz="0" w:space="0" w:color="auto"/>
        <w:left w:val="none" w:sz="0" w:space="0" w:color="auto"/>
        <w:bottom w:val="none" w:sz="0" w:space="0" w:color="auto"/>
        <w:right w:val="none" w:sz="0" w:space="0" w:color="auto"/>
      </w:divBdr>
    </w:div>
    <w:div w:id="682165375">
      <w:bodyDiv w:val="1"/>
      <w:marLeft w:val="0"/>
      <w:marRight w:val="0"/>
      <w:marTop w:val="0"/>
      <w:marBottom w:val="0"/>
      <w:divBdr>
        <w:top w:val="none" w:sz="0" w:space="0" w:color="auto"/>
        <w:left w:val="none" w:sz="0" w:space="0" w:color="auto"/>
        <w:bottom w:val="none" w:sz="0" w:space="0" w:color="auto"/>
        <w:right w:val="none" w:sz="0" w:space="0" w:color="auto"/>
      </w:divBdr>
    </w:div>
    <w:div w:id="716662060">
      <w:bodyDiv w:val="1"/>
      <w:marLeft w:val="0"/>
      <w:marRight w:val="0"/>
      <w:marTop w:val="0"/>
      <w:marBottom w:val="0"/>
      <w:divBdr>
        <w:top w:val="none" w:sz="0" w:space="0" w:color="auto"/>
        <w:left w:val="none" w:sz="0" w:space="0" w:color="auto"/>
        <w:bottom w:val="none" w:sz="0" w:space="0" w:color="auto"/>
        <w:right w:val="none" w:sz="0" w:space="0" w:color="auto"/>
      </w:divBdr>
    </w:div>
    <w:div w:id="804739472">
      <w:bodyDiv w:val="1"/>
      <w:marLeft w:val="0"/>
      <w:marRight w:val="0"/>
      <w:marTop w:val="0"/>
      <w:marBottom w:val="0"/>
      <w:divBdr>
        <w:top w:val="none" w:sz="0" w:space="0" w:color="auto"/>
        <w:left w:val="none" w:sz="0" w:space="0" w:color="auto"/>
        <w:bottom w:val="none" w:sz="0" w:space="0" w:color="auto"/>
        <w:right w:val="none" w:sz="0" w:space="0" w:color="auto"/>
      </w:divBdr>
    </w:div>
    <w:div w:id="911230916">
      <w:bodyDiv w:val="1"/>
      <w:marLeft w:val="0"/>
      <w:marRight w:val="0"/>
      <w:marTop w:val="0"/>
      <w:marBottom w:val="0"/>
      <w:divBdr>
        <w:top w:val="none" w:sz="0" w:space="0" w:color="auto"/>
        <w:left w:val="none" w:sz="0" w:space="0" w:color="auto"/>
        <w:bottom w:val="none" w:sz="0" w:space="0" w:color="auto"/>
        <w:right w:val="none" w:sz="0" w:space="0" w:color="auto"/>
      </w:divBdr>
    </w:div>
    <w:div w:id="1007682161">
      <w:bodyDiv w:val="1"/>
      <w:marLeft w:val="0"/>
      <w:marRight w:val="0"/>
      <w:marTop w:val="0"/>
      <w:marBottom w:val="0"/>
      <w:divBdr>
        <w:top w:val="none" w:sz="0" w:space="0" w:color="auto"/>
        <w:left w:val="none" w:sz="0" w:space="0" w:color="auto"/>
        <w:bottom w:val="none" w:sz="0" w:space="0" w:color="auto"/>
        <w:right w:val="none" w:sz="0" w:space="0" w:color="auto"/>
      </w:divBdr>
    </w:div>
    <w:div w:id="1055743447">
      <w:bodyDiv w:val="1"/>
      <w:marLeft w:val="0"/>
      <w:marRight w:val="0"/>
      <w:marTop w:val="0"/>
      <w:marBottom w:val="0"/>
      <w:divBdr>
        <w:top w:val="none" w:sz="0" w:space="0" w:color="auto"/>
        <w:left w:val="none" w:sz="0" w:space="0" w:color="auto"/>
        <w:bottom w:val="none" w:sz="0" w:space="0" w:color="auto"/>
        <w:right w:val="none" w:sz="0" w:space="0" w:color="auto"/>
      </w:divBdr>
    </w:div>
    <w:div w:id="1093206226">
      <w:bodyDiv w:val="1"/>
      <w:marLeft w:val="0"/>
      <w:marRight w:val="0"/>
      <w:marTop w:val="0"/>
      <w:marBottom w:val="0"/>
      <w:divBdr>
        <w:top w:val="none" w:sz="0" w:space="0" w:color="auto"/>
        <w:left w:val="none" w:sz="0" w:space="0" w:color="auto"/>
        <w:bottom w:val="none" w:sz="0" w:space="0" w:color="auto"/>
        <w:right w:val="none" w:sz="0" w:space="0" w:color="auto"/>
      </w:divBdr>
    </w:div>
    <w:div w:id="1102339800">
      <w:bodyDiv w:val="1"/>
      <w:marLeft w:val="0"/>
      <w:marRight w:val="0"/>
      <w:marTop w:val="0"/>
      <w:marBottom w:val="0"/>
      <w:divBdr>
        <w:top w:val="none" w:sz="0" w:space="0" w:color="auto"/>
        <w:left w:val="none" w:sz="0" w:space="0" w:color="auto"/>
        <w:bottom w:val="none" w:sz="0" w:space="0" w:color="auto"/>
        <w:right w:val="none" w:sz="0" w:space="0" w:color="auto"/>
      </w:divBdr>
    </w:div>
    <w:div w:id="1118648931">
      <w:bodyDiv w:val="1"/>
      <w:marLeft w:val="0"/>
      <w:marRight w:val="0"/>
      <w:marTop w:val="0"/>
      <w:marBottom w:val="0"/>
      <w:divBdr>
        <w:top w:val="none" w:sz="0" w:space="0" w:color="auto"/>
        <w:left w:val="none" w:sz="0" w:space="0" w:color="auto"/>
        <w:bottom w:val="none" w:sz="0" w:space="0" w:color="auto"/>
        <w:right w:val="none" w:sz="0" w:space="0" w:color="auto"/>
      </w:divBdr>
    </w:div>
    <w:div w:id="1142576800">
      <w:bodyDiv w:val="1"/>
      <w:marLeft w:val="0"/>
      <w:marRight w:val="0"/>
      <w:marTop w:val="0"/>
      <w:marBottom w:val="0"/>
      <w:divBdr>
        <w:top w:val="none" w:sz="0" w:space="0" w:color="auto"/>
        <w:left w:val="none" w:sz="0" w:space="0" w:color="auto"/>
        <w:bottom w:val="none" w:sz="0" w:space="0" w:color="auto"/>
        <w:right w:val="none" w:sz="0" w:space="0" w:color="auto"/>
      </w:divBdr>
    </w:div>
    <w:div w:id="1151753572">
      <w:bodyDiv w:val="1"/>
      <w:marLeft w:val="0"/>
      <w:marRight w:val="0"/>
      <w:marTop w:val="0"/>
      <w:marBottom w:val="0"/>
      <w:divBdr>
        <w:top w:val="none" w:sz="0" w:space="0" w:color="auto"/>
        <w:left w:val="none" w:sz="0" w:space="0" w:color="auto"/>
        <w:bottom w:val="none" w:sz="0" w:space="0" w:color="auto"/>
        <w:right w:val="none" w:sz="0" w:space="0" w:color="auto"/>
      </w:divBdr>
    </w:div>
    <w:div w:id="1183282592">
      <w:bodyDiv w:val="1"/>
      <w:marLeft w:val="0"/>
      <w:marRight w:val="0"/>
      <w:marTop w:val="0"/>
      <w:marBottom w:val="0"/>
      <w:divBdr>
        <w:top w:val="none" w:sz="0" w:space="0" w:color="auto"/>
        <w:left w:val="none" w:sz="0" w:space="0" w:color="auto"/>
        <w:bottom w:val="none" w:sz="0" w:space="0" w:color="auto"/>
        <w:right w:val="none" w:sz="0" w:space="0" w:color="auto"/>
      </w:divBdr>
    </w:div>
    <w:div w:id="1219784218">
      <w:bodyDiv w:val="1"/>
      <w:marLeft w:val="0"/>
      <w:marRight w:val="0"/>
      <w:marTop w:val="0"/>
      <w:marBottom w:val="0"/>
      <w:divBdr>
        <w:top w:val="none" w:sz="0" w:space="0" w:color="auto"/>
        <w:left w:val="none" w:sz="0" w:space="0" w:color="auto"/>
        <w:bottom w:val="none" w:sz="0" w:space="0" w:color="auto"/>
        <w:right w:val="none" w:sz="0" w:space="0" w:color="auto"/>
      </w:divBdr>
    </w:div>
    <w:div w:id="1271936963">
      <w:bodyDiv w:val="1"/>
      <w:marLeft w:val="0"/>
      <w:marRight w:val="0"/>
      <w:marTop w:val="0"/>
      <w:marBottom w:val="0"/>
      <w:divBdr>
        <w:top w:val="none" w:sz="0" w:space="0" w:color="auto"/>
        <w:left w:val="none" w:sz="0" w:space="0" w:color="auto"/>
        <w:bottom w:val="none" w:sz="0" w:space="0" w:color="auto"/>
        <w:right w:val="none" w:sz="0" w:space="0" w:color="auto"/>
      </w:divBdr>
    </w:div>
    <w:div w:id="1392074604">
      <w:bodyDiv w:val="1"/>
      <w:marLeft w:val="0"/>
      <w:marRight w:val="0"/>
      <w:marTop w:val="0"/>
      <w:marBottom w:val="0"/>
      <w:divBdr>
        <w:top w:val="none" w:sz="0" w:space="0" w:color="auto"/>
        <w:left w:val="none" w:sz="0" w:space="0" w:color="auto"/>
        <w:bottom w:val="none" w:sz="0" w:space="0" w:color="auto"/>
        <w:right w:val="none" w:sz="0" w:space="0" w:color="auto"/>
      </w:divBdr>
    </w:div>
    <w:div w:id="1428581137">
      <w:bodyDiv w:val="1"/>
      <w:marLeft w:val="0"/>
      <w:marRight w:val="0"/>
      <w:marTop w:val="0"/>
      <w:marBottom w:val="0"/>
      <w:divBdr>
        <w:top w:val="none" w:sz="0" w:space="0" w:color="auto"/>
        <w:left w:val="none" w:sz="0" w:space="0" w:color="auto"/>
        <w:bottom w:val="none" w:sz="0" w:space="0" w:color="auto"/>
        <w:right w:val="none" w:sz="0" w:space="0" w:color="auto"/>
      </w:divBdr>
    </w:div>
    <w:div w:id="1487748966">
      <w:bodyDiv w:val="1"/>
      <w:marLeft w:val="0"/>
      <w:marRight w:val="0"/>
      <w:marTop w:val="0"/>
      <w:marBottom w:val="0"/>
      <w:divBdr>
        <w:top w:val="none" w:sz="0" w:space="0" w:color="auto"/>
        <w:left w:val="none" w:sz="0" w:space="0" w:color="auto"/>
        <w:bottom w:val="none" w:sz="0" w:space="0" w:color="auto"/>
        <w:right w:val="none" w:sz="0" w:space="0" w:color="auto"/>
      </w:divBdr>
    </w:div>
    <w:div w:id="1533957846">
      <w:bodyDiv w:val="1"/>
      <w:marLeft w:val="0"/>
      <w:marRight w:val="0"/>
      <w:marTop w:val="0"/>
      <w:marBottom w:val="0"/>
      <w:divBdr>
        <w:top w:val="none" w:sz="0" w:space="0" w:color="auto"/>
        <w:left w:val="none" w:sz="0" w:space="0" w:color="auto"/>
        <w:bottom w:val="none" w:sz="0" w:space="0" w:color="auto"/>
        <w:right w:val="none" w:sz="0" w:space="0" w:color="auto"/>
      </w:divBdr>
    </w:div>
    <w:div w:id="1552112605">
      <w:bodyDiv w:val="1"/>
      <w:marLeft w:val="0"/>
      <w:marRight w:val="0"/>
      <w:marTop w:val="0"/>
      <w:marBottom w:val="0"/>
      <w:divBdr>
        <w:top w:val="none" w:sz="0" w:space="0" w:color="auto"/>
        <w:left w:val="none" w:sz="0" w:space="0" w:color="auto"/>
        <w:bottom w:val="none" w:sz="0" w:space="0" w:color="auto"/>
        <w:right w:val="none" w:sz="0" w:space="0" w:color="auto"/>
      </w:divBdr>
    </w:div>
    <w:div w:id="1585334669">
      <w:bodyDiv w:val="1"/>
      <w:marLeft w:val="0"/>
      <w:marRight w:val="0"/>
      <w:marTop w:val="0"/>
      <w:marBottom w:val="0"/>
      <w:divBdr>
        <w:top w:val="none" w:sz="0" w:space="0" w:color="auto"/>
        <w:left w:val="none" w:sz="0" w:space="0" w:color="auto"/>
        <w:bottom w:val="none" w:sz="0" w:space="0" w:color="auto"/>
        <w:right w:val="none" w:sz="0" w:space="0" w:color="auto"/>
      </w:divBdr>
    </w:div>
    <w:div w:id="1818524781">
      <w:bodyDiv w:val="1"/>
      <w:marLeft w:val="0"/>
      <w:marRight w:val="0"/>
      <w:marTop w:val="0"/>
      <w:marBottom w:val="0"/>
      <w:divBdr>
        <w:top w:val="none" w:sz="0" w:space="0" w:color="auto"/>
        <w:left w:val="none" w:sz="0" w:space="0" w:color="auto"/>
        <w:bottom w:val="none" w:sz="0" w:space="0" w:color="auto"/>
        <w:right w:val="none" w:sz="0" w:space="0" w:color="auto"/>
      </w:divBdr>
    </w:div>
    <w:div w:id="1906335651">
      <w:bodyDiv w:val="1"/>
      <w:marLeft w:val="0"/>
      <w:marRight w:val="0"/>
      <w:marTop w:val="0"/>
      <w:marBottom w:val="0"/>
      <w:divBdr>
        <w:top w:val="none" w:sz="0" w:space="0" w:color="auto"/>
        <w:left w:val="none" w:sz="0" w:space="0" w:color="auto"/>
        <w:bottom w:val="none" w:sz="0" w:space="0" w:color="auto"/>
        <w:right w:val="none" w:sz="0" w:space="0" w:color="auto"/>
      </w:divBdr>
    </w:div>
    <w:div w:id="2001537242">
      <w:bodyDiv w:val="1"/>
      <w:marLeft w:val="0"/>
      <w:marRight w:val="0"/>
      <w:marTop w:val="0"/>
      <w:marBottom w:val="0"/>
      <w:divBdr>
        <w:top w:val="none" w:sz="0" w:space="0" w:color="auto"/>
        <w:left w:val="none" w:sz="0" w:space="0" w:color="auto"/>
        <w:bottom w:val="none" w:sz="0" w:space="0" w:color="auto"/>
        <w:right w:val="none" w:sz="0" w:space="0" w:color="auto"/>
      </w:divBdr>
    </w:div>
    <w:div w:id="2026054556">
      <w:bodyDiv w:val="1"/>
      <w:marLeft w:val="0"/>
      <w:marRight w:val="0"/>
      <w:marTop w:val="0"/>
      <w:marBottom w:val="0"/>
      <w:divBdr>
        <w:top w:val="none" w:sz="0" w:space="0" w:color="auto"/>
        <w:left w:val="none" w:sz="0" w:space="0" w:color="auto"/>
        <w:bottom w:val="none" w:sz="0" w:space="0" w:color="auto"/>
        <w:right w:val="none" w:sz="0" w:space="0" w:color="auto"/>
      </w:divBdr>
    </w:div>
    <w:div w:id="206236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ndardsbis.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s.gov.in"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BC2ED-E582-414F-951F-A2514E4E5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Nederlandse norm</vt:lpstr>
    </vt:vector>
  </TitlesOfParts>
  <Company>Kone Elevator India Pvt Ltd</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Nederlandse norm</dc:title>
  <dc:creator>keiopti</dc:creator>
  <cp:lastModifiedBy>Neeraj Kushwaha</cp:lastModifiedBy>
  <cp:revision>65</cp:revision>
  <cp:lastPrinted>2022-03-23T10:16:00Z</cp:lastPrinted>
  <dcterms:created xsi:type="dcterms:W3CDTF">2024-12-17T04:39:00Z</dcterms:created>
  <dcterms:modified xsi:type="dcterms:W3CDTF">2024-12-17T11:25:00Z</dcterms:modified>
</cp:coreProperties>
</file>