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3988" w14:textId="77777777" w:rsidR="006D50D6" w:rsidRDefault="006D50D6" w:rsidP="005D4CBC">
      <w:pPr>
        <w:pStyle w:val="BodyText"/>
      </w:pPr>
    </w:p>
    <w:p w14:paraId="312AD0B4" w14:textId="15CD97F2" w:rsidR="006D50D6" w:rsidRPr="00244772" w:rsidRDefault="006D50D6" w:rsidP="006D50D6">
      <w:pPr>
        <w:pStyle w:val="BodyText"/>
        <w:ind w:left="3870"/>
        <w:jc w:val="right"/>
        <w:rPr>
          <w:rFonts w:ascii="Arial" w:hAnsi="Arial" w:cstheme="minorBidi"/>
          <w:b/>
          <w:bCs/>
          <w:color w:val="000000"/>
          <w:szCs w:val="21"/>
          <w:shd w:val="clear" w:color="auto" w:fill="FFFFFF"/>
          <w:lang w:val="en-IN" w:bidi="hi-IN"/>
        </w:rPr>
      </w:pPr>
      <w:r>
        <w:tab/>
      </w:r>
      <w:r>
        <w:rPr>
          <w:rFonts w:asciiTheme="minorBidi" w:hAnsiTheme="minorBidi"/>
          <w:noProof/>
          <w:sz w:val="22"/>
          <w:szCs w:val="22"/>
          <w:lang w:val="en-IN" w:eastAsia="en-IN" w:bidi="hi-IN"/>
        </w:rPr>
        <mc:AlternateContent>
          <mc:Choice Requires="wps">
            <w:drawing>
              <wp:anchor distT="0" distB="0" distL="114300" distR="114300" simplePos="0" relativeHeight="251660288" behindDoc="0" locked="0" layoutInCell="1" allowOverlap="1" wp14:anchorId="570528D6" wp14:editId="7BFC711B">
                <wp:simplePos x="0" y="0"/>
                <wp:positionH relativeFrom="margin">
                  <wp:posOffset>2381250</wp:posOffset>
                </wp:positionH>
                <wp:positionV relativeFrom="paragraph">
                  <wp:posOffset>-221615</wp:posOffset>
                </wp:positionV>
                <wp:extent cx="1788795" cy="657225"/>
                <wp:effectExtent l="0" t="0" r="2095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795" cy="6572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CE48DAB" w14:textId="77777777" w:rsidR="006D50D6" w:rsidRPr="00E73D3B" w:rsidRDefault="006D50D6" w:rsidP="006D50D6">
                            <w:pPr>
                              <w:rPr>
                                <w:rFonts w:ascii="Kokila" w:hAnsi="Kokila" w:cs="Kokila"/>
                                <w:b/>
                                <w:bCs/>
                                <w:i/>
                                <w:iCs/>
                                <w:sz w:val="44"/>
                                <w:szCs w:val="44"/>
                              </w:rPr>
                            </w:pPr>
                            <w:r w:rsidRPr="00FD4B32">
                              <w:rPr>
                                <w:rFonts w:ascii="Kokila" w:hAnsi="Kokila" w:cs="Kokila"/>
                                <w:b/>
                                <w:bCs/>
                                <w:i/>
                                <w:iCs/>
                                <w:sz w:val="44"/>
                                <w:szCs w:val="44"/>
                                <w:cs/>
                              </w:rPr>
                              <w:t xml:space="preserve">भारतीय मानक </w:t>
                            </w:r>
                            <w:r w:rsidRPr="00FD4B32">
                              <w:rPr>
                                <w:rFonts w:ascii="Arial" w:hAnsi="Arial" w:cs="Arial"/>
                                <w:b/>
                                <w:bCs/>
                                <w:i/>
                                <w:iCs/>
                                <w:sz w:val="28"/>
                                <w:szCs w:val="28"/>
                              </w:rPr>
                              <w:t>Indian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528D6" id="Rectangle 13" o:spid="_x0000_s1026" style="position:absolute;left:0;text-align:left;margin-left:187.5pt;margin-top:-17.45pt;width:140.8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iNigIAAHcFAAAOAAAAZHJzL2Uyb0RvYy54bWysVEtvGyEQvlfqf0Dcm/W6ea6yjqxEqSpZ&#10;iZWkyhmzYK8CDAXsXffXd2AfTtKoh6oXxDDfPPlmLq9archOOF+DKWl+NKFEGA5VbdYl/fF0++Wc&#10;Eh+YqZgCI0q6F55ezT5/umxsIaawAVUJR9CJ8UVjS7oJwRZZ5vlGaOaPwAqDSglOs4CiW2eVYw16&#10;1yqbTianWQOusg648B5fbzolnSX/Ugoe7qX0IhBVUswtpNOlcxXPbHbJirVjdlPzPg32D1loVhsM&#10;Orq6YYGRrav/cKVr7sCDDEccdAZS1lykGrCafPKumscNsyLVgs3xdmyT/39u+d1u6Uhd4d99pcQw&#10;jX/0gF1jZq0EwTdsUGN9gbhHu3SxRG8XwF88KrI3mij4HtNKpyMWCyRt6vZ+7LZoA+H4mJ+dn59d&#10;nFDCUXd6cjadnsRoGSsGa+t8+CZAk3gpqcO8UpPZbuFDBx0gMZgyKT1QdXVbK5WEyCNxrRzZMWTA&#10;ap33IfwBhQGjZSqmyz9VEvZKdF4fhMQOYcbTFD1x8+Czehl8KoPIaCIx+miUf2SkwmDUY6OZSHwd&#10;DScfGR6ijegUEUwYDXVtwP3dWHb4oequ1lh2aFdtR4fh51dQ7ZEiDrrZ8Zbf1vgdC+bDkjkcFhwr&#10;XADhHg+poCkp9DdKNuB+ffQe8chh1FLS4PCV1P/cMicoUd8NsvsiPz6O05qEY6QGCu61ZvVaY7b6&#10;GvB3c1w1lqdrxAc1XKUD/Yx7Yh6joooZjrFLyoMbhOvQLQXcNFzM5wmGE2pZWJhHy6Pz2OdIt6f2&#10;mTnbczIgm+9gGFRWvKNmh42WBubbALJOvI2d7vra/wBOd2J+v4ni+ngtJ9RhX85+AwAA//8DAFBL&#10;AwQUAAYACAAAACEATm3R/OQAAAAKAQAADwAAAGRycy9kb3ducmV2LnhtbEyPzU7DMBCE70i8g7VI&#10;XFDrQNs0hDhVVTUXVCT6I8TRTZYkEK/T2E3D27Oc4DarGc1+kywG04geO1dbUnA/DkAg5baoqVRw&#10;2GejCITzmgrdWEIF3+hgkV5fJTou7IW22O98KbiEXKwVVN63sZQur9BoN7YtEnsftjPa89mVsuj0&#10;hctNIx+CIJRG18QfKt3iqsL8a3c2CqLTyxu+fx7W2eYuW/br1fP0tT0pdXszLJ9AeBz8Xxh+8Rkd&#10;UmY62jMVTjQKJvMZb/EKRpPpIwhOhLNwDuLIIgpBpon8PyH9AQAA//8DAFBLAQItABQABgAIAAAA&#10;IQC2gziS/gAAAOEBAAATAAAAAAAAAAAAAAAAAAAAAABbQ29udGVudF9UeXBlc10ueG1sUEsBAi0A&#10;FAAGAAgAAAAhADj9If/WAAAAlAEAAAsAAAAAAAAAAAAAAAAALwEAAF9yZWxzLy5yZWxzUEsBAi0A&#10;FAAGAAgAAAAhAPCAqI2KAgAAdwUAAA4AAAAAAAAAAAAAAAAALgIAAGRycy9lMm9Eb2MueG1sUEsB&#10;Ai0AFAAGAAgAAAAhAE5t0fzkAAAACgEAAA8AAAAAAAAAAAAAAAAA5AQAAGRycy9kb3ducmV2Lnht&#10;bFBLBQYAAAAABAAEAPMAAAD1BQAAAAA=&#10;" fillcolor="white [3201]" strokecolor="white [3212]" strokeweight="1pt">
                <v:path arrowok="t"/>
                <v:textbox>
                  <w:txbxContent>
                    <w:p w14:paraId="1CE48DAB" w14:textId="77777777" w:rsidR="006D50D6" w:rsidRPr="00E73D3B" w:rsidRDefault="006D50D6" w:rsidP="006D50D6">
                      <w:pPr>
                        <w:rPr>
                          <w:rFonts w:ascii="Kokila" w:hAnsi="Kokila" w:cs="Kokila"/>
                          <w:b/>
                          <w:bCs/>
                          <w:i/>
                          <w:iCs/>
                          <w:sz w:val="44"/>
                          <w:szCs w:val="44"/>
                        </w:rPr>
                      </w:pPr>
                      <w:r w:rsidRPr="00FD4B32">
                        <w:rPr>
                          <w:rFonts w:ascii="Kokila" w:hAnsi="Kokila" w:cs="Kokila"/>
                          <w:b/>
                          <w:bCs/>
                          <w:i/>
                          <w:iCs/>
                          <w:sz w:val="44"/>
                          <w:szCs w:val="44"/>
                          <w:cs/>
                        </w:rPr>
                        <w:t xml:space="preserve">भारतीय मानक </w:t>
                      </w:r>
                      <w:r w:rsidRPr="00FD4B32">
                        <w:rPr>
                          <w:rFonts w:ascii="Arial" w:hAnsi="Arial" w:cs="Arial"/>
                          <w:b/>
                          <w:bCs/>
                          <w:i/>
                          <w:iCs/>
                          <w:sz w:val="28"/>
                          <w:szCs w:val="28"/>
                        </w:rPr>
                        <w:t>Indian Standards</w:t>
                      </w:r>
                    </w:p>
                  </w:txbxContent>
                </v:textbox>
                <w10:wrap anchorx="margin"/>
              </v:rect>
            </w:pict>
          </mc:Fallback>
        </mc:AlternateContent>
      </w:r>
      <w:r>
        <w:t xml:space="preserve">                                                    </w:t>
      </w:r>
      <w:r w:rsidRPr="001D481B">
        <w:rPr>
          <w:rFonts w:ascii="Arial" w:hAnsi="Arial" w:cs="Arial"/>
          <w:b/>
          <w:bCs/>
          <w:color w:val="000000"/>
          <w:shd w:val="clear" w:color="auto" w:fill="FFFFFF"/>
        </w:rPr>
        <w:t>I</w:t>
      </w:r>
      <w:r>
        <w:rPr>
          <w:rFonts w:ascii="Arial" w:hAnsi="Arial" w:cs="Arial"/>
          <w:b/>
          <w:bCs/>
          <w:color w:val="000000"/>
          <w:shd w:val="clear" w:color="auto" w:fill="FFFFFF"/>
        </w:rPr>
        <w:t>S/I</w:t>
      </w:r>
      <w:r w:rsidR="00CE0218">
        <w:rPr>
          <w:rFonts w:ascii="Arial" w:hAnsi="Arial" w:cs="Arial"/>
          <w:b/>
          <w:bCs/>
          <w:color w:val="000000"/>
          <w:shd w:val="clear" w:color="auto" w:fill="FFFFFF"/>
        </w:rPr>
        <w:t>EC 60691</w:t>
      </w:r>
      <w:r w:rsidRPr="001D481B">
        <w:rPr>
          <w:rFonts w:ascii="Arial" w:hAnsi="Arial" w:cs="Arial"/>
          <w:b/>
          <w:bCs/>
          <w:color w:val="000000"/>
          <w:shd w:val="clear" w:color="auto" w:fill="FFFFFF"/>
        </w:rPr>
        <w:t>:</w:t>
      </w:r>
      <w:r>
        <w:rPr>
          <w:rFonts w:ascii="Arial" w:hAnsi="Arial" w:cs="Arial"/>
          <w:b/>
          <w:bCs/>
          <w:color w:val="000000"/>
          <w:shd w:val="clear" w:color="auto" w:fill="FFFFFF"/>
        </w:rPr>
        <w:t xml:space="preserve"> </w:t>
      </w:r>
      <w:r w:rsidR="001C0E71">
        <w:rPr>
          <w:rFonts w:ascii="Arial" w:hAnsi="Arial" w:cs="Arial"/>
          <w:b/>
          <w:bCs/>
          <w:color w:val="000000"/>
          <w:shd w:val="clear" w:color="auto" w:fill="FFFFFF"/>
        </w:rPr>
        <w:t>202</w:t>
      </w:r>
      <w:r w:rsidR="00244772">
        <w:rPr>
          <w:rFonts w:ascii="Arial" w:hAnsi="Arial" w:cs="Arial"/>
          <w:b/>
          <w:bCs/>
          <w:color w:val="000000"/>
          <w:shd w:val="clear" w:color="auto" w:fill="FFFFFF"/>
          <w:lang w:val="en-IN"/>
        </w:rPr>
        <w:t>3</w:t>
      </w:r>
    </w:p>
    <w:p w14:paraId="52954901" w14:textId="77777777" w:rsidR="006D50D6" w:rsidRDefault="006D50D6" w:rsidP="006D50D6">
      <w:pPr>
        <w:pStyle w:val="BodyText"/>
        <w:ind w:left="3870"/>
        <w:jc w:val="right"/>
      </w:pPr>
    </w:p>
    <w:p w14:paraId="441E8D5F" w14:textId="77777777" w:rsidR="006D50D6" w:rsidRPr="008D0FBB" w:rsidRDefault="006D50D6" w:rsidP="007F4B11">
      <w:pPr>
        <w:pStyle w:val="BodyText"/>
        <w:ind w:left="3544"/>
        <w:jc w:val="right"/>
        <w:rPr>
          <w:rFonts w:ascii="Arial" w:hAnsi="Arial" w:cs="Arial"/>
          <w:b/>
          <w:sz w:val="36"/>
          <w:szCs w:val="32"/>
        </w:rPr>
      </w:pPr>
      <w:r>
        <w:rPr>
          <w:rFonts w:ascii="Arial" w:hAnsi="Arial" w:cs="Arial"/>
          <w:noProof/>
          <w:lang w:val="en-IN" w:eastAsia="en-IN" w:bidi="hi-IN"/>
        </w:rPr>
        <mc:AlternateContent>
          <mc:Choice Requires="wpg">
            <w:drawing>
              <wp:inline distT="0" distB="0" distL="0" distR="0" wp14:anchorId="1E8C1112" wp14:editId="7E77A78B">
                <wp:extent cx="4101465" cy="54610"/>
                <wp:effectExtent l="9525" t="2540" r="13335" b="952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01465" cy="5461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9D0A3A" id="Group 6" o:spid="_x0000_s1026" style="width:322.95pt;height:4.3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dKtwIAALUKAAAOAAAAZHJzL2Uyb0RvYy54bWzsVl1vmzAUfZ+0/2DxngIpoQkqqaaQ9KVb&#10;K7Xbu2MMWDO2Zbsh0bT/vmtD0qTdw9RplSb1Bfx1r88959jy5dW25WhDtWFS5EF8FgWICiJLJuo8&#10;+PqwGk0DZCwWJeZS0DzYURNczT9+uOxURseykbykGkESYbJO5UFjrcrC0JCGtticSUUFTFZSt9hC&#10;V9dhqXEH2VsejqMoDTupS6UlocbAaNFPBnOfv6oosbdVZahFPA8Am/Vf7b9r9w3nlzirNVYNIwMM&#10;/AoULWYCNj2kKrDF6FGzF6laRrQ0srJnRLahrCpGqK8BqomjZ9Vca/mofC111tXqQBNQ+4ynV6cl&#10;XzZ3GrEyD9IACdyCRH5XlDpqOlVnsOJaq3t1p/v6oHkjyXcD0+Hzedev+8Vo3X2WJaTDj1Z6araV&#10;blHFmfoGRvEjUD7aei12By3o1iICg0kcxUk6CRCBuUmSxoNWpAFBX0SRZjnEpefJRR8URz4kxJnb&#10;eUA7oHOlgeHME6fm7zi9b7CiXirjGBs4BSQ9pzdMUDTrKfULFqLnk2zFwCcSctFgUVOf6mGngLvY&#10;RQDLRyGuY0CM3/PrJDphdU/bnlagB4R2nJ6SgzOljb2mskWukQccEHuR8ObGWAfjaYnbRcgV4xzG&#10;ccYF6gDr+AIId30jOSvdrO/oer3gGm0wnMDxebwa7zc+WQZOF6XP1lBcLoe2xYz3bdidC5cPCgE8&#10;Q6s/Yj9m0Ww5XU6TUTJOl6MkKorRp9UiGaWr+GJSnBeLRRH/dNDiJGtYWVLh0O2Pe5z8mfTDxdMf&#10;1MOBP/AQnmb3hAHY/d+D9lI69Xr/rWW5u9N7icGNb2RLuJOPbNlb5MRkOPvXvpwMx/ndl+++PFyX&#10;s1Nf+tvvjX05e/flf3Vf+icIvI38NTu849zj67gP7ePX5vwXAAAA//8DAFBLAwQUAAYACAAAACEA&#10;4Ovq8toAAAADAQAADwAAAGRycy9kb3ducmV2LnhtbEyPT0vDQBDF74LfYRnBm90oMdSYSSmCIuLF&#10;+Icep9kxWczOhuy2jd/e1Uu9DDze473fVKvZDWrPU7BeEC4XGSiW1hsrHcLb6/3FElSIJIYGL4zw&#10;zQFW9elJRaXxB3nhfRM7lUoklITQxziWWoe2Z0dh4UeW5H36yVFMcuq0meiQyt2gr7Ks0I6spIWe&#10;Rr7ruf1qdg7hfW1zzj82T89Zy/xo9OahsTni+dm8vgUVeY7HMPziJ3SoE9PW78QENSCkR+LfTV6R&#10;X9+A2iIsC9B1pf+z1z8AAAD//wMAUEsBAi0AFAAGAAgAAAAhALaDOJL+AAAA4QEAABMAAAAAAAAA&#10;AAAAAAAAAAAAAFtDb250ZW50X1R5cGVzXS54bWxQSwECLQAUAAYACAAAACEAOP0h/9YAAACUAQAA&#10;CwAAAAAAAAAAAAAAAAAvAQAAX3JlbHMvLnJlbHNQSwECLQAUAAYACAAAACEACTpnSrcCAAC1CgAA&#10;DgAAAAAAAAAAAAAAAAAuAgAAZHJzL2Uyb0RvYy54bWxQSwECLQAUAAYACAAAACEA4Ovq8toAAAAD&#10;AQAADwAAAAAAAAAAAAAAAAARBQAAZHJzL2Rvd25yZXYueG1sUEsFBgAAAAAEAAQA8wAAABgGAAAA&#10;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anchorlock/>
              </v:group>
            </w:pict>
          </mc:Fallback>
        </mc:AlternateContent>
      </w:r>
    </w:p>
    <w:p w14:paraId="63223F77" w14:textId="77777777" w:rsidR="006D50D6" w:rsidRPr="00EA5F53" w:rsidRDefault="006D50D6" w:rsidP="006D50D6">
      <w:pPr>
        <w:pStyle w:val="BodyText"/>
        <w:ind w:left="3870"/>
        <w:jc w:val="center"/>
        <w:rPr>
          <w:rFonts w:ascii="Kokila" w:hAnsi="Kokila" w:cs="Kokila"/>
          <w:rtl/>
          <w:cs/>
        </w:rPr>
      </w:pPr>
    </w:p>
    <w:p w14:paraId="33E99CC9" w14:textId="77777777" w:rsidR="006D50D6" w:rsidRPr="00C53688" w:rsidRDefault="006D50D6" w:rsidP="006D50D6">
      <w:pPr>
        <w:pStyle w:val="BodyText"/>
        <w:ind w:left="3780"/>
        <w:jc w:val="center"/>
        <w:rPr>
          <w:rFonts w:ascii="Kokila" w:hAnsi="Kokila" w:cs="Kokila"/>
          <w:b/>
          <w:bCs/>
          <w:sz w:val="32"/>
          <w:szCs w:val="32"/>
          <w:lang w:bidi="hi-IN"/>
        </w:rPr>
      </w:pPr>
    </w:p>
    <w:p w14:paraId="24309BB8" w14:textId="0F0D8B1A" w:rsidR="00C96122" w:rsidRDefault="006D50D6" w:rsidP="006D50D6">
      <w:pPr>
        <w:pStyle w:val="BodyText"/>
        <w:ind w:left="3780"/>
        <w:jc w:val="center"/>
        <w:rPr>
          <w:rFonts w:ascii="Kokila" w:hAnsi="Kokila" w:cs="Kokila"/>
          <w:b/>
          <w:bCs/>
          <w:sz w:val="52"/>
          <w:szCs w:val="52"/>
          <w:lang w:bidi="hi-IN"/>
        </w:rPr>
      </w:pPr>
      <w:r w:rsidRPr="004D4F13">
        <w:rPr>
          <w:rFonts w:ascii="Kokila" w:hAnsi="Kokila" w:cs="Kokila"/>
          <w:b/>
          <w:bCs/>
          <w:sz w:val="52"/>
          <w:szCs w:val="52"/>
          <w:cs/>
          <w:lang w:bidi="hi-IN"/>
        </w:rPr>
        <w:tab/>
      </w:r>
      <w:r w:rsidR="009D2C67" w:rsidRPr="009D2C67">
        <w:rPr>
          <w:rFonts w:ascii="Kokila" w:hAnsi="Kokila" w:cs="Kokila"/>
          <w:b/>
          <w:bCs/>
          <w:sz w:val="52"/>
          <w:szCs w:val="52"/>
          <w:cs/>
          <w:lang w:bidi="hi-IN"/>
        </w:rPr>
        <w:t>तापीय</w:t>
      </w:r>
      <w:r w:rsidR="00260A24" w:rsidRPr="00260A24">
        <w:rPr>
          <w:rFonts w:ascii="Kokila" w:hAnsi="Kokila" w:cs="Kokila"/>
          <w:b/>
          <w:bCs/>
          <w:sz w:val="52"/>
          <w:szCs w:val="52"/>
          <w:cs/>
          <w:lang w:bidi="hi-IN"/>
        </w:rPr>
        <w:t>-लिंक</w:t>
      </w:r>
      <w:r w:rsidR="00474FC9" w:rsidRPr="000375D8">
        <w:rPr>
          <w:rFonts w:ascii="Kokila" w:hAnsi="Kokila" w:cs="Kokila"/>
          <w:b/>
          <w:bCs/>
          <w:sz w:val="44"/>
          <w:szCs w:val="44"/>
          <w:lang w:val="en-IN" w:bidi="hi-IN"/>
        </w:rPr>
        <w:t>—</w:t>
      </w:r>
    </w:p>
    <w:p w14:paraId="77D2AD5E" w14:textId="4C1D23C7" w:rsidR="006D50D6" w:rsidRPr="00C96122" w:rsidRDefault="00814AA1" w:rsidP="006D50D6">
      <w:pPr>
        <w:pStyle w:val="BodyText"/>
        <w:ind w:left="3780"/>
        <w:jc w:val="center"/>
        <w:rPr>
          <w:rFonts w:ascii="Kokila" w:hAnsi="Kokila" w:cs="Kokila"/>
          <w:b/>
          <w:bCs/>
          <w:sz w:val="44"/>
          <w:szCs w:val="44"/>
          <w:lang w:bidi="hi-IN"/>
        </w:rPr>
      </w:pPr>
      <w:r>
        <w:rPr>
          <w:rFonts w:ascii="Kokila" w:hAnsi="Kokila" w:cs="Kokila"/>
          <w:b/>
          <w:bCs/>
          <w:sz w:val="44"/>
          <w:szCs w:val="44"/>
          <w:cs/>
          <w:lang w:bidi="hi-IN"/>
        </w:rPr>
        <w:t xml:space="preserve">आवश्यकताएँ और अनुप्रयोग </w:t>
      </w:r>
      <w:r w:rsidR="009D2C67" w:rsidRPr="009D2C67">
        <w:rPr>
          <w:rFonts w:ascii="Kokila" w:hAnsi="Kokila" w:cs="Kokila"/>
          <w:b/>
          <w:bCs/>
          <w:sz w:val="44"/>
          <w:szCs w:val="44"/>
          <w:cs/>
          <w:lang w:bidi="hi-IN"/>
        </w:rPr>
        <w:t>मार्गदर्शिका</w:t>
      </w:r>
    </w:p>
    <w:p w14:paraId="6851F2F2" w14:textId="7C0D884A" w:rsidR="00831AAF" w:rsidRPr="00950338" w:rsidRDefault="00831AAF" w:rsidP="0079532E">
      <w:pPr>
        <w:pStyle w:val="BodyText"/>
        <w:spacing w:before="240"/>
        <w:ind w:left="3780"/>
        <w:jc w:val="center"/>
        <w:rPr>
          <w:rFonts w:ascii="Kokila" w:hAnsi="Kokila" w:cs="Kokila"/>
          <w:b/>
          <w:bCs/>
          <w:sz w:val="40"/>
          <w:szCs w:val="40"/>
          <w:lang w:val="en-IN" w:bidi="hi-IN"/>
        </w:rPr>
      </w:pPr>
      <w:r w:rsidRPr="00700D54">
        <w:rPr>
          <w:rFonts w:ascii="Kokila" w:hAnsi="Kokila" w:cs="Kokila" w:hint="cs"/>
          <w:b/>
          <w:bCs/>
          <w:sz w:val="40"/>
          <w:szCs w:val="40"/>
          <w:cs/>
          <w:lang w:bidi="hi-IN"/>
        </w:rPr>
        <w:t>(</w:t>
      </w:r>
      <w:r w:rsidR="002B2770">
        <w:rPr>
          <w:rFonts w:ascii="Kokila" w:hAnsi="Kokila" w:cs="Kokila" w:hint="cs"/>
          <w:i/>
          <w:iCs/>
          <w:sz w:val="40"/>
          <w:szCs w:val="40"/>
          <w:cs/>
          <w:lang w:bidi="hi-IN"/>
        </w:rPr>
        <w:t>दूसरा</w:t>
      </w:r>
      <w:r w:rsidR="00D67215">
        <w:rPr>
          <w:rFonts w:ascii="Kokila" w:hAnsi="Kokila" w:cs="Kokila"/>
          <w:i/>
          <w:iCs/>
          <w:sz w:val="40"/>
          <w:szCs w:val="40"/>
          <w:cs/>
          <w:lang w:bidi="hi-IN"/>
        </w:rPr>
        <w:t xml:space="preserve"> </w:t>
      </w:r>
      <w:r w:rsidRPr="00292875">
        <w:rPr>
          <w:rFonts w:ascii="Kokila" w:hAnsi="Kokila" w:cs="Kokila"/>
          <w:i/>
          <w:iCs/>
          <w:sz w:val="40"/>
          <w:szCs w:val="40"/>
          <w:cs/>
          <w:lang w:bidi="hi-IN"/>
        </w:rPr>
        <w:t>पुनरीक्षण</w:t>
      </w:r>
      <w:r w:rsidRPr="00700D54">
        <w:rPr>
          <w:rFonts w:ascii="Kokila" w:hAnsi="Kokila" w:cs="Kokila" w:hint="cs"/>
          <w:b/>
          <w:bCs/>
          <w:sz w:val="40"/>
          <w:szCs w:val="40"/>
          <w:cs/>
          <w:lang w:bidi="hi-IN"/>
        </w:rPr>
        <w:t>)</w:t>
      </w:r>
    </w:p>
    <w:p w14:paraId="2AE21B3C" w14:textId="77777777" w:rsidR="006D50D6" w:rsidRDefault="006D50D6" w:rsidP="006D50D6">
      <w:pPr>
        <w:pStyle w:val="BodyText"/>
        <w:ind w:left="3780"/>
        <w:jc w:val="center"/>
        <w:rPr>
          <w:rFonts w:ascii="Kokila" w:hAnsi="Kokila" w:cs="Kokila"/>
          <w:b/>
          <w:bCs/>
          <w:sz w:val="44"/>
          <w:szCs w:val="44"/>
        </w:rPr>
      </w:pPr>
    </w:p>
    <w:p w14:paraId="3F3BA729" w14:textId="77777777" w:rsidR="00AD7677" w:rsidRPr="00C53688" w:rsidRDefault="00AD7677" w:rsidP="006D50D6">
      <w:pPr>
        <w:pStyle w:val="BodyText"/>
        <w:ind w:left="3780"/>
        <w:jc w:val="center"/>
        <w:rPr>
          <w:rFonts w:ascii="Kokila" w:hAnsi="Kokila" w:cs="Kokila"/>
          <w:b/>
          <w:bCs/>
          <w:sz w:val="44"/>
          <w:szCs w:val="44"/>
        </w:rPr>
      </w:pPr>
    </w:p>
    <w:p w14:paraId="6E88ABFB" w14:textId="603D2AB6" w:rsidR="001F3831" w:rsidRDefault="004A0377" w:rsidP="006D50D6">
      <w:pPr>
        <w:pStyle w:val="BodyText"/>
        <w:ind w:left="3780"/>
        <w:jc w:val="center"/>
        <w:rPr>
          <w:rFonts w:ascii="Arial" w:hAnsi="Arial" w:cs="Arial"/>
          <w:b/>
          <w:bCs/>
          <w:sz w:val="36"/>
          <w:szCs w:val="36"/>
        </w:rPr>
      </w:pPr>
      <w:r w:rsidRPr="004A0377">
        <w:rPr>
          <w:rFonts w:ascii="Arial" w:hAnsi="Arial" w:cs="Arial"/>
          <w:b/>
          <w:bCs/>
          <w:sz w:val="36"/>
          <w:szCs w:val="36"/>
        </w:rPr>
        <w:t>Thermal-Links</w:t>
      </w:r>
      <w:r w:rsidR="00474FC9" w:rsidRPr="000375D8">
        <w:rPr>
          <w:rFonts w:ascii="Kokila" w:hAnsi="Kokila" w:cs="Kokila"/>
          <w:b/>
          <w:bCs/>
          <w:sz w:val="44"/>
          <w:szCs w:val="44"/>
          <w:lang w:val="en-IN" w:bidi="hi-IN"/>
        </w:rPr>
        <w:t>—</w:t>
      </w:r>
    </w:p>
    <w:p w14:paraId="0C3A9F18" w14:textId="77777777" w:rsidR="00F61D8E" w:rsidRPr="00F61D8E" w:rsidRDefault="00F61D8E" w:rsidP="006D50D6">
      <w:pPr>
        <w:pStyle w:val="BodyText"/>
        <w:ind w:left="3780"/>
        <w:jc w:val="center"/>
        <w:rPr>
          <w:rFonts w:ascii="Arial" w:hAnsi="Arial" w:cs="Arial"/>
          <w:b/>
          <w:bCs/>
          <w:sz w:val="12"/>
          <w:szCs w:val="12"/>
        </w:rPr>
      </w:pPr>
    </w:p>
    <w:p w14:paraId="3FF60634" w14:textId="6DB694E0" w:rsidR="006D50D6" w:rsidRPr="001F3831" w:rsidRDefault="004A0377" w:rsidP="006D50D6">
      <w:pPr>
        <w:pStyle w:val="BodyText"/>
        <w:ind w:left="3780"/>
        <w:jc w:val="center"/>
        <w:rPr>
          <w:rFonts w:ascii="Arial" w:hAnsi="Arial" w:cs="Arial"/>
          <w:b/>
          <w:bCs/>
          <w:sz w:val="32"/>
          <w:szCs w:val="32"/>
        </w:rPr>
      </w:pPr>
      <w:r w:rsidRPr="004A0377">
        <w:rPr>
          <w:rFonts w:ascii="Arial" w:hAnsi="Arial" w:cs="Arial"/>
          <w:b/>
          <w:bCs/>
          <w:sz w:val="32"/>
          <w:szCs w:val="32"/>
        </w:rPr>
        <w:t xml:space="preserve">Requirements and Application Guide </w:t>
      </w:r>
    </w:p>
    <w:p w14:paraId="568AC240" w14:textId="3E2FEB8D" w:rsidR="00AD7677" w:rsidRPr="000D08DB" w:rsidRDefault="00AD7677" w:rsidP="002A73CB">
      <w:pPr>
        <w:pStyle w:val="BodyText"/>
        <w:spacing w:before="240"/>
        <w:ind w:left="3780"/>
        <w:jc w:val="center"/>
        <w:rPr>
          <w:sz w:val="28"/>
          <w:szCs w:val="28"/>
          <w:lang w:bidi="hi-IN"/>
        </w:rPr>
      </w:pPr>
      <w:r w:rsidRPr="000D08DB">
        <w:rPr>
          <w:sz w:val="28"/>
          <w:szCs w:val="28"/>
          <w:cs/>
          <w:lang w:bidi="hi-IN"/>
        </w:rPr>
        <w:t>(</w:t>
      </w:r>
      <w:r w:rsidR="004A0377">
        <w:rPr>
          <w:i/>
          <w:iCs/>
          <w:sz w:val="28"/>
          <w:szCs w:val="28"/>
          <w:lang w:val="en-IN" w:bidi="hi-IN"/>
        </w:rPr>
        <w:t>Second</w:t>
      </w:r>
      <w:r w:rsidRPr="00DB5FC6">
        <w:rPr>
          <w:i/>
          <w:iCs/>
          <w:sz w:val="28"/>
          <w:szCs w:val="28"/>
          <w:lang w:val="en-IN" w:bidi="hi-IN"/>
        </w:rPr>
        <w:t xml:space="preserve"> Revision</w:t>
      </w:r>
      <w:r w:rsidRPr="000D08DB">
        <w:rPr>
          <w:sz w:val="28"/>
          <w:szCs w:val="28"/>
          <w:cs/>
          <w:lang w:bidi="hi-IN"/>
        </w:rPr>
        <w:t>)</w:t>
      </w:r>
    </w:p>
    <w:p w14:paraId="244AFF3F" w14:textId="01CAADA0" w:rsidR="00953554" w:rsidRDefault="00953554" w:rsidP="006D50D6">
      <w:pPr>
        <w:pStyle w:val="BodyText"/>
        <w:ind w:left="3780"/>
        <w:jc w:val="center"/>
        <w:rPr>
          <w:rFonts w:asciiTheme="minorBidi" w:hAnsiTheme="minorBidi" w:cstheme="minorBidi"/>
          <w:bCs/>
          <w:i/>
          <w:iCs/>
          <w:sz w:val="28"/>
          <w:szCs w:val="28"/>
          <w:lang w:bidi="hi-IN"/>
        </w:rPr>
      </w:pPr>
    </w:p>
    <w:p w14:paraId="577375AA" w14:textId="77777777" w:rsidR="002A73CB" w:rsidRDefault="002A73CB" w:rsidP="006D50D6">
      <w:pPr>
        <w:pStyle w:val="BodyText"/>
        <w:ind w:left="3780"/>
        <w:jc w:val="center"/>
        <w:rPr>
          <w:rFonts w:asciiTheme="minorBidi" w:hAnsiTheme="minorBidi" w:cstheme="minorBidi"/>
          <w:bCs/>
          <w:i/>
          <w:iCs/>
          <w:sz w:val="28"/>
          <w:szCs w:val="28"/>
          <w:lang w:bidi="hi-IN"/>
        </w:rPr>
      </w:pPr>
    </w:p>
    <w:p w14:paraId="6C2EE03C" w14:textId="77777777" w:rsidR="006D50D6" w:rsidRPr="00EA5F53" w:rsidRDefault="006D50D6" w:rsidP="006D50D6">
      <w:pPr>
        <w:pStyle w:val="BodyText"/>
        <w:ind w:left="3780"/>
        <w:jc w:val="center"/>
        <w:rPr>
          <w:rFonts w:ascii="Arial" w:hAnsi="Arial" w:cs="Arial"/>
        </w:rPr>
      </w:pPr>
      <w:r w:rsidRPr="005314D0">
        <w:rPr>
          <w:rFonts w:ascii="Arial" w:hAnsi="Arial" w:cs="Arial"/>
        </w:rPr>
        <w:t xml:space="preserve">ICS </w:t>
      </w:r>
      <w:r w:rsidRPr="00720AE7">
        <w:rPr>
          <w:rFonts w:ascii="Arial" w:hAnsi="Arial" w:cs="Arial"/>
        </w:rPr>
        <w:tab/>
        <w:t>29.120.50</w:t>
      </w:r>
    </w:p>
    <w:p w14:paraId="5D5D6185" w14:textId="77777777" w:rsidR="006D50D6" w:rsidRPr="00EA5F53" w:rsidRDefault="006D50D6" w:rsidP="006D50D6">
      <w:pPr>
        <w:pStyle w:val="BodyText"/>
        <w:ind w:left="3780"/>
        <w:jc w:val="center"/>
        <w:rPr>
          <w:rFonts w:ascii="Arial" w:hAnsi="Arial" w:cs="Arial"/>
        </w:rPr>
      </w:pPr>
    </w:p>
    <w:p w14:paraId="627311BE" w14:textId="77777777" w:rsidR="006D50D6" w:rsidRPr="00EA5F53" w:rsidRDefault="006D50D6" w:rsidP="006D50D6">
      <w:pPr>
        <w:pStyle w:val="BodyText"/>
        <w:ind w:left="3780"/>
        <w:jc w:val="center"/>
        <w:rPr>
          <w:rFonts w:ascii="Arial" w:hAnsi="Arial" w:cs="Arial"/>
        </w:rPr>
      </w:pPr>
    </w:p>
    <w:p w14:paraId="737C8B79" w14:textId="77777777" w:rsidR="006D50D6" w:rsidRDefault="006D50D6" w:rsidP="006D50D6">
      <w:pPr>
        <w:pStyle w:val="BodyText"/>
        <w:ind w:left="3780"/>
        <w:jc w:val="center"/>
        <w:rPr>
          <w:rFonts w:ascii="Arial" w:hAnsi="Arial" w:cs="Arial"/>
        </w:rPr>
      </w:pPr>
    </w:p>
    <w:p w14:paraId="0BFF9EEA" w14:textId="77777777" w:rsidR="006D50D6" w:rsidRDefault="006D50D6" w:rsidP="006D50D6">
      <w:pPr>
        <w:pStyle w:val="BodyText"/>
        <w:ind w:left="3780"/>
        <w:jc w:val="center"/>
        <w:rPr>
          <w:rFonts w:ascii="Arial" w:hAnsi="Arial" w:cs="Arial"/>
        </w:rPr>
      </w:pPr>
    </w:p>
    <w:p w14:paraId="68803785" w14:textId="77777777" w:rsidR="006D50D6" w:rsidRPr="00EA5F53" w:rsidRDefault="006D50D6" w:rsidP="006D50D6">
      <w:pPr>
        <w:pStyle w:val="BodyText"/>
        <w:ind w:left="3780"/>
        <w:jc w:val="center"/>
        <w:rPr>
          <w:rFonts w:ascii="Arial" w:hAnsi="Arial" w:cs="Arial"/>
        </w:rPr>
      </w:pPr>
    </w:p>
    <w:p w14:paraId="19DED238" w14:textId="77777777" w:rsidR="006D50D6" w:rsidRPr="00EA5F53" w:rsidRDefault="006D50D6" w:rsidP="006D50D6">
      <w:pPr>
        <w:pStyle w:val="BodyText"/>
        <w:ind w:left="3780"/>
        <w:jc w:val="center"/>
        <w:rPr>
          <w:rFonts w:ascii="Arial" w:hAnsi="Arial" w:cs="Arial"/>
        </w:rPr>
      </w:pPr>
      <w:r w:rsidRPr="00EA5F53">
        <w:rPr>
          <w:rFonts w:ascii="Arial" w:hAnsi="Arial" w:cs="Arial"/>
        </w:rPr>
        <w:t xml:space="preserve">© </w:t>
      </w:r>
      <w:r>
        <w:rPr>
          <w:rFonts w:ascii="Arial" w:hAnsi="Arial" w:cs="Arial"/>
        </w:rPr>
        <w:t>BIS 2024</w:t>
      </w:r>
    </w:p>
    <w:p w14:paraId="14336D36" w14:textId="77777777" w:rsidR="006D50D6" w:rsidRPr="00EA5F53" w:rsidRDefault="006D50D6" w:rsidP="006D50D6">
      <w:pPr>
        <w:pStyle w:val="BodyText"/>
        <w:ind w:left="3780"/>
        <w:jc w:val="center"/>
        <w:rPr>
          <w:rFonts w:ascii="Arial" w:hAnsi="Arial" w:cs="Arial"/>
        </w:rPr>
      </w:pPr>
      <w:r w:rsidRPr="00EA5F53">
        <w:rPr>
          <w:rFonts w:ascii="Arial" w:hAnsi="Arial" w:cs="Arial"/>
        </w:rPr>
        <w:t xml:space="preserve">© IEC </w:t>
      </w:r>
      <w:r w:rsidR="00421FE5">
        <w:rPr>
          <w:rFonts w:ascii="Arial" w:hAnsi="Arial" w:cs="Arial"/>
        </w:rPr>
        <w:t>2023</w:t>
      </w:r>
    </w:p>
    <w:p w14:paraId="13F1734E" w14:textId="77777777" w:rsidR="006D50D6" w:rsidRPr="00473F72" w:rsidRDefault="006D50D6" w:rsidP="006D50D6">
      <w:pPr>
        <w:ind w:left="3870"/>
        <w:jc w:val="center"/>
        <w:rPr>
          <w:rFonts w:ascii="Arial" w:hAnsi="Arial" w:cs="Arial"/>
          <w:sz w:val="10"/>
          <w:szCs w:val="24"/>
        </w:rPr>
      </w:pPr>
    </w:p>
    <w:p w14:paraId="30E14424" w14:textId="77777777" w:rsidR="006D50D6" w:rsidRDefault="006D50D6" w:rsidP="006D50D6">
      <w:pPr>
        <w:spacing w:after="120"/>
        <w:ind w:left="3870"/>
        <w:jc w:val="center"/>
        <w:rPr>
          <w:rFonts w:ascii="Arial" w:hAnsi="Arial" w:cs="Arial"/>
          <w:sz w:val="24"/>
          <w:szCs w:val="24"/>
        </w:rPr>
      </w:pPr>
      <w:r w:rsidRPr="00473F72">
        <w:rPr>
          <w:rFonts w:ascii="Arial" w:hAnsi="Arial" w:cs="Arial"/>
          <w:noProof/>
          <w:sz w:val="24"/>
          <w:lang w:eastAsia="en-IN"/>
        </w:rPr>
        <w:drawing>
          <wp:inline distT="0" distB="0" distL="0" distR="0" wp14:anchorId="4F636EB0" wp14:editId="349A450F">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473F72">
        <w:rPr>
          <w:rFonts w:ascii="Arial" w:hAnsi="Arial" w:cs="Arial"/>
          <w:sz w:val="24"/>
          <w:szCs w:val="24"/>
        </w:rPr>
        <w:t xml:space="preserve">  </w:t>
      </w:r>
    </w:p>
    <w:p w14:paraId="4CFFD386" w14:textId="6955D61D" w:rsidR="006D50D6" w:rsidRDefault="006D50D6" w:rsidP="007F4B11">
      <w:pPr>
        <w:tabs>
          <w:tab w:val="left" w:pos="3828"/>
        </w:tabs>
        <w:ind w:left="3261"/>
        <w:jc w:val="center"/>
        <w:rPr>
          <w:rFonts w:ascii="Arial" w:hAnsi="Arial"/>
          <w:sz w:val="24"/>
        </w:rPr>
      </w:pPr>
      <w:r>
        <w:rPr>
          <w:rFonts w:ascii="Times New Roman" w:hAnsi="Times New Roman"/>
          <w:noProof/>
          <w:lang w:eastAsia="en-IN"/>
        </w:rPr>
        <mc:AlternateContent>
          <mc:Choice Requires="wpg">
            <w:drawing>
              <wp:inline distT="0" distB="0" distL="0" distR="0" wp14:anchorId="56C07411" wp14:editId="30319C13">
                <wp:extent cx="4138930" cy="53975"/>
                <wp:effectExtent l="9525" t="1905" r="1397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003E7B" id="Group 2"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qwtAIAALUKAAAOAAAAZHJzL2Uyb0RvYy54bWzsVslu2zAUvBfoPxC6O1q9CZGLwrJzSdsA&#10;SXunKWpBJZIgGctG0X/vIyk7UdJDkaIBCuQi8XF5nDczJHj54dC1aE+lajjLvPAi8BBlhBcNqzLv&#10;6912svCQ0pgVuOWMZt6RKu/D6v27y16kNOI1bwsqESRhKu1F5tVai9T3Falph9UFF5TBYMllhzWE&#10;svILiXvI3rV+FAQzv+eyEJITqhT05m7QW9n8ZUmJ/lKWimrUZh5g0/Yr7Xdnvv7qEqeVxKJuyAAD&#10;vwBFhxsGm55T5VhjdC+bZ6m6hkiueKkvCO98XpYNobYGqCYMnlRzJfm9sLVUaV+JM01A7ROeXpyW&#10;fN7fSNQUmRd5iOEOJLK7oshQ04sqhRlXUtyKG+nqg+Y1J98VDPtPx01cuclo13/iBaTD95pbag6l&#10;7FDZNuIbGMX2QPnoYLU4nrWgB40IdCZhvFjGIBmBsWm8nE+dVqQGQZ+tIvVmWDeLk7lbFAZWXh+n&#10;ZucB7YDOlAaGUw+cqr/j9LbGglqplGFs4DQ+cXrdMIqWjlI7Yc0cn+TABj4R4+sas4raVHdHAdyF&#10;ZgWw/GiJCRSI8Xt+jUQjVsPB4idagZ6Zo2dMDk6FVPqK8g6ZRua1gNiKhPfXShsYD1PMLoxvm7aF&#10;fpy2DPWANZoD4SZWvG0KM2oDWe3WrUR7DCcwisNtdNp4NA2czgqbraa42AxtjZvWtWH3lpl8UAjg&#10;GVruiP1YBsvNYrNIJkk020ySIM8nH7frZDLbhvNpHufrdR7+NNDCJK2boqDMoDsd9zD5M+mHi8cd&#10;1POBP/Pgj7NbwgDs6W9BWymNes5/O14cb+RJYnDjK9kyGdnSWWRkMpz+a19O33z55ktn94frcjr2&#10;pb39XtmXyzdf/le+tE8QeBvZa3Z4x5nH1+MY2o9fm6tfAAAA//8DAFBLAwQUAAYACAAAACEAhl1V&#10;1toAAAADAQAADwAAAGRycy9kb3ducmV2LnhtbEyPT0vDQBDF74LfYRnBm91U0lLSTEoRFBEvxj/0&#10;uM1Ok8XsbMhu2/jtHb3o5cHwhvd+r9xMvlcnGqMLjDCfZaCIm2Adtwhvr/c3K1AxGbamD0wIXxRh&#10;U11elKaw4cwvdKpTqySEY2EQupSGQuvYdORNnIWBWLxDGL1Jco6ttqM5S7jv9W2WLbU3jqWhMwPd&#10;ddR81keP8L51OeUfu6fnrCF6tHr3ULsc8fpq2q5BJZrS3zP84As6VMK0D0e2UfUIMiT9qnjLxVxm&#10;7BFWC9BVqf+zV98AAAD//wMAUEsBAi0AFAAGAAgAAAAhALaDOJL+AAAA4QEAABMAAAAAAAAAAAAA&#10;AAAAAAAAAFtDb250ZW50X1R5cGVzXS54bWxQSwECLQAUAAYACAAAACEAOP0h/9YAAACUAQAACwAA&#10;AAAAAAAAAAAAAAAvAQAAX3JlbHMvLnJlbHNQSwECLQAUAAYACAAAACEAV6gasLQCAAC1CgAADgAA&#10;AAAAAAAAAAAAAAAuAgAAZHJzL2Uyb0RvYy54bWxQSwECLQAUAAYACAAAACEAhl1V1toAAAADAQAA&#10;DwAAAAAAAAAAAAAAAAAOBQAAZHJzL2Rvd25yZXYueG1sUEsFBgAAAAAEAAQA8wAAABU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0D62893C" w14:textId="1D03F83E" w:rsidR="006D50D6" w:rsidRPr="00F5481D" w:rsidRDefault="009D104E" w:rsidP="006D50D6">
      <w:pPr>
        <w:pStyle w:val="BodyText"/>
        <w:ind w:left="4253"/>
        <w:jc w:val="center"/>
        <w:rPr>
          <w:rFonts w:ascii="Kokila" w:hAnsi="Kokila" w:cs="Kokila"/>
          <w:b/>
          <w:caps/>
          <w:sz w:val="28"/>
          <w:szCs w:val="28"/>
        </w:rPr>
      </w:pPr>
      <w:r>
        <w:rPr>
          <w:rFonts w:ascii="Kokila" w:hAnsi="Kokila" w:cs="Kokila"/>
          <w:b/>
          <w:bCs/>
          <w:noProof/>
          <w:sz w:val="28"/>
          <w:szCs w:val="28"/>
        </w:rPr>
        <w:object w:dxaOrig="1440" w:dyaOrig="1440" w14:anchorId="1D581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pt;margin-top:13.8pt;width:59.7pt;height:48.45pt;z-index:251659264" o:allowincell="f">
            <v:imagedata r:id="rId6" o:title="" cropbottom="12350f"/>
          </v:shape>
          <o:OLEObject Type="Embed" ProgID="MSPhotoEd.3" ShapeID="_x0000_s1026" DrawAspect="Content" ObjectID="_1796198384" r:id="rId7"/>
        </w:object>
      </w:r>
      <w:r w:rsidR="006D50D6" w:rsidRPr="00F5481D">
        <w:rPr>
          <w:rFonts w:ascii="Kokila" w:hAnsi="Kokila" w:cs="Kokila"/>
          <w:caps/>
          <w:sz w:val="28"/>
          <w:szCs w:val="28"/>
          <w:cs/>
          <w:lang w:bidi="hi-IN"/>
        </w:rPr>
        <w:t>भारतीय मानक ब्यूरो</w:t>
      </w:r>
    </w:p>
    <w:p w14:paraId="18377633" w14:textId="77777777" w:rsidR="006D50D6" w:rsidRPr="00F5481D" w:rsidRDefault="006D50D6" w:rsidP="006D50D6">
      <w:pPr>
        <w:pStyle w:val="BodyText"/>
        <w:ind w:left="4253"/>
        <w:jc w:val="center"/>
        <w:rPr>
          <w:rFonts w:ascii="Arial" w:hAnsi="Arial" w:cs="Arial"/>
          <w:color w:val="231F20"/>
          <w:spacing w:val="22"/>
          <w:lang w:bidi="hi-IN"/>
        </w:rPr>
      </w:pPr>
      <w:r w:rsidRPr="00F5481D">
        <w:rPr>
          <w:rFonts w:ascii="Arial" w:hAnsi="Arial" w:cs="Arial"/>
          <w:color w:val="231F20"/>
          <w:spacing w:val="22"/>
        </w:rPr>
        <w:t>BUREAU OF INDIAN STANDARDS</w:t>
      </w:r>
    </w:p>
    <w:p w14:paraId="22BE4D3C" w14:textId="77777777" w:rsidR="006D50D6" w:rsidRPr="00F5481D" w:rsidRDefault="006D50D6" w:rsidP="006D50D6">
      <w:pPr>
        <w:pStyle w:val="BodyText"/>
        <w:ind w:left="4253"/>
        <w:jc w:val="center"/>
        <w:rPr>
          <w:rFonts w:ascii="Kokila" w:hAnsi="Kokila" w:cs="Kokila"/>
          <w:b/>
          <w:color w:val="231F20"/>
          <w:spacing w:val="22"/>
          <w:sz w:val="28"/>
          <w:szCs w:val="28"/>
        </w:rPr>
      </w:pPr>
      <w:r w:rsidRPr="00F5481D">
        <w:rPr>
          <w:rFonts w:ascii="Kokila" w:hAnsi="Kokila" w:cs="Kokila"/>
          <w:caps/>
          <w:sz w:val="28"/>
          <w:szCs w:val="28"/>
          <w:cs/>
          <w:lang w:bidi="hi-IN"/>
        </w:rPr>
        <w:t>मानक भवन</w:t>
      </w:r>
      <w:r w:rsidRPr="00F5481D">
        <w:rPr>
          <w:rFonts w:ascii="Kokila" w:hAnsi="Kokila" w:cs="Kokila"/>
          <w:caps/>
          <w:sz w:val="28"/>
          <w:szCs w:val="28"/>
        </w:rPr>
        <w:t xml:space="preserve">, 9 </w:t>
      </w:r>
      <w:r w:rsidRPr="00F5481D">
        <w:rPr>
          <w:rFonts w:ascii="Kokila" w:hAnsi="Kokila" w:cs="Kokila"/>
          <w:caps/>
          <w:sz w:val="28"/>
          <w:szCs w:val="28"/>
          <w:cs/>
          <w:lang w:bidi="hi-IN"/>
        </w:rPr>
        <w:t>बहादुर शाह ज़फर मार्ग</w:t>
      </w:r>
      <w:r w:rsidRPr="00F5481D">
        <w:rPr>
          <w:rFonts w:ascii="Kokila" w:hAnsi="Kokila" w:cs="Kokila"/>
          <w:caps/>
          <w:sz w:val="28"/>
          <w:szCs w:val="28"/>
        </w:rPr>
        <w:t xml:space="preserve">, </w:t>
      </w:r>
      <w:r w:rsidRPr="00F5481D">
        <w:rPr>
          <w:rFonts w:ascii="Kokila" w:hAnsi="Kokila" w:cs="Kokila"/>
          <w:caps/>
          <w:sz w:val="28"/>
          <w:szCs w:val="28"/>
          <w:cs/>
          <w:lang w:bidi="hi-IN"/>
        </w:rPr>
        <w:t>नई दिल्ली -</w:t>
      </w:r>
      <w:r w:rsidRPr="00F5481D">
        <w:rPr>
          <w:rFonts w:ascii="Kokila" w:hAnsi="Kokila" w:cs="Kokila"/>
          <w:caps/>
          <w:sz w:val="28"/>
          <w:szCs w:val="28"/>
          <w:rtl/>
        </w:rPr>
        <w:t xml:space="preserve"> </w:t>
      </w:r>
      <w:r w:rsidRPr="00F5481D">
        <w:rPr>
          <w:rFonts w:ascii="Kokila" w:hAnsi="Kokila" w:cs="Kokila"/>
          <w:caps/>
          <w:sz w:val="28"/>
          <w:szCs w:val="28"/>
        </w:rPr>
        <w:t>110002</w:t>
      </w:r>
    </w:p>
    <w:p w14:paraId="79A5ADF1" w14:textId="77777777" w:rsidR="006D50D6" w:rsidRPr="00F5481D" w:rsidRDefault="006D50D6" w:rsidP="006D50D6">
      <w:pPr>
        <w:pStyle w:val="BodyText"/>
        <w:ind w:left="4253"/>
        <w:jc w:val="center"/>
        <w:rPr>
          <w:rFonts w:ascii="Arial" w:hAnsi="Arial" w:cs="Arial"/>
          <w:color w:val="231F20"/>
        </w:rPr>
      </w:pPr>
      <w:r w:rsidRPr="00F5481D">
        <w:rPr>
          <w:rFonts w:ascii="Arial" w:hAnsi="Arial" w:cs="Arial"/>
          <w:color w:val="231F20"/>
        </w:rPr>
        <w:t>MANAK BHA</w:t>
      </w:r>
      <w:r w:rsidRPr="00F5481D">
        <w:rPr>
          <w:rFonts w:ascii="Arial" w:hAnsi="Arial" w:cs="Arial"/>
          <w:color w:val="231F20"/>
          <w:lang w:bidi="hi-IN"/>
        </w:rPr>
        <w:t>V</w:t>
      </w:r>
      <w:r w:rsidRPr="00F5481D">
        <w:rPr>
          <w:rFonts w:ascii="Arial" w:hAnsi="Arial" w:cs="Arial"/>
          <w:color w:val="231F20"/>
        </w:rPr>
        <w:t>AN, 9 BAHADUR SHAH ZAFAR MARG</w:t>
      </w:r>
      <w:r>
        <w:rPr>
          <w:rFonts w:ascii="Arial" w:hAnsi="Arial" w:cs="Arial"/>
          <w:color w:val="231F20"/>
        </w:rPr>
        <w:t xml:space="preserve"> </w:t>
      </w:r>
      <w:r w:rsidRPr="00F5481D">
        <w:rPr>
          <w:rFonts w:ascii="Arial" w:hAnsi="Arial" w:cs="Arial"/>
          <w:color w:val="231F20"/>
        </w:rPr>
        <w:t>NEW DELHI - 110002</w:t>
      </w:r>
    </w:p>
    <w:p w14:paraId="640EEAC3" w14:textId="77777777" w:rsidR="006D50D6" w:rsidRPr="00F5481D" w:rsidRDefault="009D104E" w:rsidP="006D50D6">
      <w:pPr>
        <w:pStyle w:val="BodyText"/>
        <w:ind w:left="4253"/>
        <w:jc w:val="center"/>
        <w:rPr>
          <w:rFonts w:ascii="Arial" w:hAnsi="Arial" w:cs="Arial"/>
          <w:sz w:val="20"/>
        </w:rPr>
      </w:pPr>
      <w:hyperlink r:id="rId8" w:history="1">
        <w:r w:rsidR="006D50D6" w:rsidRPr="00F5481D">
          <w:rPr>
            <w:rFonts w:ascii="Arial" w:hAnsi="Arial" w:cs="Arial"/>
            <w:color w:val="0000FF"/>
            <w:u w:val="single"/>
          </w:rPr>
          <w:t>www.bis.gov.in</w:t>
        </w:r>
      </w:hyperlink>
      <w:r w:rsidR="006D50D6" w:rsidRPr="00F5481D">
        <w:rPr>
          <w:rFonts w:ascii="Arial" w:hAnsi="Arial" w:cs="Arial"/>
          <w:sz w:val="20"/>
        </w:rPr>
        <w:t xml:space="preserve">     </w:t>
      </w:r>
      <w:hyperlink r:id="rId9" w:history="1">
        <w:r w:rsidR="006D50D6" w:rsidRPr="00F5481D">
          <w:rPr>
            <w:rFonts w:ascii="Arial" w:hAnsi="Arial" w:cs="Arial"/>
            <w:color w:val="0000FF"/>
            <w:u w:val="single"/>
          </w:rPr>
          <w:t>www.standardsbis.in</w:t>
        </w:r>
      </w:hyperlink>
    </w:p>
    <w:p w14:paraId="2B51308E" w14:textId="77777777" w:rsidR="006D50D6" w:rsidRPr="00473F72" w:rsidRDefault="006D50D6" w:rsidP="006D50D6">
      <w:pPr>
        <w:pStyle w:val="BodyText"/>
        <w:ind w:left="4253"/>
        <w:jc w:val="center"/>
      </w:pPr>
    </w:p>
    <w:p w14:paraId="64C078C6" w14:textId="1C6EE444" w:rsidR="006D50D6" w:rsidRDefault="00CE218F" w:rsidP="006D50D6">
      <w:pPr>
        <w:pStyle w:val="BodyText"/>
        <w:ind w:left="3828"/>
        <w:jc w:val="center"/>
        <w:rPr>
          <w:rFonts w:ascii="Arial" w:hAnsi="Arial" w:cs="Arial"/>
          <w:b/>
        </w:rPr>
      </w:pPr>
      <w:r>
        <w:rPr>
          <w:rFonts w:ascii="Arial" w:hAnsi="Arial" w:cs="Arial"/>
          <w:b/>
        </w:rPr>
        <w:t xml:space="preserve">November </w:t>
      </w:r>
      <w:r w:rsidR="006D50D6">
        <w:rPr>
          <w:rFonts w:ascii="Arial" w:hAnsi="Arial" w:cs="Arial"/>
          <w:b/>
        </w:rPr>
        <w:t>2024</w:t>
      </w:r>
      <w:r w:rsidR="006D50D6" w:rsidRPr="00F5481D">
        <w:rPr>
          <w:rFonts w:ascii="Arial" w:hAnsi="Arial" w:cs="Arial"/>
          <w:b/>
        </w:rPr>
        <w:t xml:space="preserve">                                      </w:t>
      </w:r>
      <w:r w:rsidR="006D50D6">
        <w:rPr>
          <w:rFonts w:ascii="Arial" w:hAnsi="Arial" w:cs="Arial"/>
          <w:b/>
        </w:rPr>
        <w:t>Price Group x</w:t>
      </w:r>
    </w:p>
    <w:p w14:paraId="46E61ED1" w14:textId="77777777" w:rsidR="006D50D6" w:rsidRDefault="006D50D6" w:rsidP="00EB23D6">
      <w:pPr>
        <w:spacing w:after="0"/>
        <w:rPr>
          <w:rFonts w:ascii="Times New Roman" w:hAnsi="Times New Roman" w:cs="Times New Roman"/>
          <w:sz w:val="24"/>
          <w:szCs w:val="24"/>
        </w:rPr>
      </w:pPr>
    </w:p>
    <w:p w14:paraId="05391E6E" w14:textId="6537C30B" w:rsidR="006D50D6" w:rsidRDefault="006D50D6" w:rsidP="00EB23D6">
      <w:pPr>
        <w:spacing w:after="0"/>
        <w:rPr>
          <w:rFonts w:ascii="Times New Roman" w:hAnsi="Times New Roman" w:cs="Times New Roman"/>
          <w:sz w:val="24"/>
          <w:szCs w:val="24"/>
        </w:rPr>
      </w:pPr>
    </w:p>
    <w:p w14:paraId="27425BA2" w14:textId="37C21923" w:rsidR="00CE218F" w:rsidRDefault="00CE218F" w:rsidP="00EB23D6">
      <w:pPr>
        <w:spacing w:after="0"/>
        <w:rPr>
          <w:rFonts w:ascii="Times New Roman" w:hAnsi="Times New Roman" w:cs="Times New Roman"/>
          <w:sz w:val="24"/>
          <w:szCs w:val="24"/>
        </w:rPr>
      </w:pPr>
    </w:p>
    <w:p w14:paraId="73791B49" w14:textId="5C0EA562" w:rsidR="006D50D6" w:rsidRDefault="00336716" w:rsidP="007250C8">
      <w:pPr>
        <w:spacing w:after="0"/>
        <w:rPr>
          <w:rFonts w:ascii="Times New Roman" w:hAnsi="Times New Roman" w:cs="Times New Roman"/>
          <w:sz w:val="24"/>
          <w:szCs w:val="24"/>
        </w:rPr>
      </w:pPr>
      <w:r>
        <w:rPr>
          <w:rFonts w:ascii="Times New Roman" w:hAnsi="Times New Roman" w:cs="Times New Roman"/>
          <w:sz w:val="24"/>
          <w:szCs w:val="24"/>
        </w:rPr>
        <w:lastRenderedPageBreak/>
        <w:t>Fuses</w:t>
      </w:r>
      <w:r w:rsidR="007250C8">
        <w:rPr>
          <w:rFonts w:ascii="Times New Roman" w:hAnsi="Times New Roman" w:cs="Times New Roman"/>
          <w:sz w:val="24"/>
          <w:szCs w:val="24"/>
        </w:rPr>
        <w:t xml:space="preserve"> Sectional Committee, ETD 39</w:t>
      </w:r>
    </w:p>
    <w:p w14:paraId="38EB74D2" w14:textId="77777777" w:rsidR="005D652B" w:rsidRDefault="005D652B" w:rsidP="007250C8">
      <w:pPr>
        <w:spacing w:after="0"/>
        <w:rPr>
          <w:rFonts w:ascii="Times New Roman" w:hAnsi="Times New Roman" w:cs="Times New Roman"/>
          <w:sz w:val="24"/>
          <w:szCs w:val="24"/>
        </w:rPr>
      </w:pPr>
    </w:p>
    <w:p w14:paraId="0818A6D9" w14:textId="77777777" w:rsidR="007250C8" w:rsidRDefault="007250C8" w:rsidP="007250C8">
      <w:pPr>
        <w:spacing w:after="0"/>
        <w:rPr>
          <w:rFonts w:ascii="Times New Roman" w:hAnsi="Times New Roman" w:cs="Times New Roman"/>
          <w:sz w:val="24"/>
          <w:szCs w:val="24"/>
        </w:rPr>
      </w:pPr>
    </w:p>
    <w:p w14:paraId="34C598E4" w14:textId="77777777" w:rsidR="00FB5AE6" w:rsidRPr="00F4488A" w:rsidRDefault="00EB23D6" w:rsidP="00EB23D6">
      <w:pPr>
        <w:spacing w:after="0"/>
        <w:rPr>
          <w:rFonts w:ascii="Times New Roman" w:hAnsi="Times New Roman" w:cs="Times New Roman"/>
          <w:sz w:val="24"/>
          <w:szCs w:val="24"/>
        </w:rPr>
      </w:pPr>
      <w:r w:rsidRPr="00F4488A">
        <w:rPr>
          <w:rFonts w:ascii="Times New Roman" w:hAnsi="Times New Roman" w:cs="Times New Roman"/>
          <w:sz w:val="24"/>
          <w:szCs w:val="24"/>
        </w:rPr>
        <w:t>NATIONAL FOREWORD</w:t>
      </w:r>
    </w:p>
    <w:p w14:paraId="1B87364D" w14:textId="77777777" w:rsidR="00EB23D6" w:rsidRPr="00F4488A" w:rsidRDefault="00EB23D6" w:rsidP="00EB23D6">
      <w:pPr>
        <w:spacing w:after="0"/>
        <w:jc w:val="both"/>
        <w:rPr>
          <w:rFonts w:ascii="Times New Roman" w:hAnsi="Times New Roman" w:cs="Times New Roman"/>
          <w:sz w:val="24"/>
          <w:szCs w:val="24"/>
        </w:rPr>
      </w:pPr>
    </w:p>
    <w:p w14:paraId="2D3AE8C9" w14:textId="20F6B98A" w:rsidR="00EB23D6" w:rsidRDefault="00380018" w:rsidP="009D2C67">
      <w:pPr>
        <w:pStyle w:val="Bodytext10"/>
        <w:spacing w:after="0"/>
        <w:jc w:val="both"/>
        <w:rPr>
          <w:rFonts w:ascii="Times New Roman" w:eastAsia="Times New Roman" w:hAnsi="Times New Roman" w:cs="Times New Roman"/>
          <w:color w:val="000000"/>
          <w:sz w:val="24"/>
          <w:szCs w:val="24"/>
          <w:lang w:val="en-US" w:bidi="en-US"/>
        </w:rPr>
      </w:pPr>
      <w:r w:rsidRPr="00380018">
        <w:rPr>
          <w:rFonts w:ascii="Times New Roman" w:eastAsia="Times New Roman" w:hAnsi="Times New Roman" w:cs="Times New Roman"/>
          <w:color w:val="000000"/>
          <w:sz w:val="24"/>
          <w:szCs w:val="24"/>
          <w:lang w:val="en-US" w:bidi="en-US"/>
        </w:rPr>
        <w:t xml:space="preserve">This Indian Standard which is identical with </w:t>
      </w:r>
      <w:r w:rsidR="009D2C67" w:rsidRPr="009D2C67">
        <w:rPr>
          <w:rFonts w:ascii="Times New Roman" w:eastAsia="Times New Roman" w:hAnsi="Times New Roman" w:cs="Times New Roman"/>
          <w:color w:val="000000"/>
          <w:sz w:val="24"/>
          <w:szCs w:val="24"/>
          <w:lang w:bidi="en-US"/>
        </w:rPr>
        <w:t>IEC 60691:2023</w:t>
      </w:r>
      <w:r w:rsidR="009D2C67" w:rsidRPr="009D2C67">
        <w:rPr>
          <w:rFonts w:ascii="Times New Roman" w:eastAsia="Times New Roman" w:hAnsi="Times New Roman" w:cs="Times New Roman"/>
          <w:color w:val="000000"/>
          <w:sz w:val="24"/>
          <w:szCs w:val="24"/>
          <w:lang w:val="en-US" w:bidi="en-US"/>
        </w:rPr>
        <w:t xml:space="preserve"> </w:t>
      </w:r>
      <w:r w:rsidRPr="00380018">
        <w:rPr>
          <w:rFonts w:ascii="Times New Roman" w:eastAsia="Times New Roman" w:hAnsi="Times New Roman" w:cs="Times New Roman"/>
          <w:color w:val="000000"/>
          <w:sz w:val="24"/>
          <w:szCs w:val="24"/>
          <w:lang w:val="en-US" w:bidi="en-US"/>
        </w:rPr>
        <w:t>‘</w:t>
      </w:r>
      <w:r w:rsidR="009D2C67" w:rsidRPr="009D2C67">
        <w:rPr>
          <w:rFonts w:ascii="Times New Roman" w:eastAsia="Times New Roman" w:hAnsi="Times New Roman" w:cs="Times New Roman"/>
          <w:color w:val="000000"/>
          <w:sz w:val="24"/>
          <w:szCs w:val="24"/>
          <w:lang w:bidi="en-US"/>
        </w:rPr>
        <w:t>Thermal-links – Requirements and application guide</w:t>
      </w:r>
      <w:r w:rsidR="009D2C67">
        <w:rPr>
          <w:rFonts w:ascii="Times New Roman" w:eastAsia="Times New Roman" w:hAnsi="Times New Roman" w:cs="Times New Roman"/>
          <w:color w:val="000000"/>
          <w:sz w:val="24"/>
          <w:szCs w:val="24"/>
          <w:lang w:bidi="en-US"/>
        </w:rPr>
        <w:t xml:space="preserve">’ </w:t>
      </w:r>
      <w:r w:rsidRPr="00380018">
        <w:rPr>
          <w:rFonts w:ascii="Times New Roman" w:eastAsia="Times New Roman" w:hAnsi="Times New Roman" w:cs="Times New Roman"/>
          <w:color w:val="000000"/>
          <w:sz w:val="24"/>
          <w:szCs w:val="24"/>
          <w:lang w:val="en-US" w:bidi="en-US"/>
        </w:rPr>
        <w:t xml:space="preserve">issued by the International Electrotechnical Commission (IEC) </w:t>
      </w:r>
      <w:r w:rsidR="004B34E1">
        <w:rPr>
          <w:rFonts w:ascii="Times New Roman" w:eastAsia="Times New Roman" w:hAnsi="Times New Roman" w:cs="Times New Roman"/>
          <w:color w:val="000000"/>
          <w:sz w:val="24"/>
          <w:szCs w:val="24"/>
          <w:lang w:val="en-US" w:bidi="en-US"/>
        </w:rPr>
        <w:t xml:space="preserve">was </w:t>
      </w:r>
      <w:r w:rsidRPr="00380018">
        <w:rPr>
          <w:rFonts w:ascii="Times New Roman" w:eastAsia="Times New Roman" w:hAnsi="Times New Roman" w:cs="Times New Roman"/>
          <w:color w:val="000000"/>
          <w:sz w:val="24"/>
          <w:szCs w:val="24"/>
          <w:lang w:val="en-US" w:bidi="en-US"/>
        </w:rPr>
        <w:t>adopted by the Bureau of Indian Standards on the recommendation of the Fuses Sectional</w:t>
      </w:r>
      <w:r>
        <w:rPr>
          <w:rFonts w:ascii="Times New Roman" w:eastAsia="Times New Roman" w:hAnsi="Times New Roman" w:cs="Times New Roman"/>
          <w:color w:val="000000"/>
          <w:sz w:val="24"/>
          <w:szCs w:val="24"/>
          <w:lang w:val="en-US" w:bidi="en-US"/>
        </w:rPr>
        <w:t xml:space="preserve"> </w:t>
      </w:r>
      <w:r w:rsidRPr="00380018">
        <w:rPr>
          <w:rFonts w:ascii="Times New Roman" w:eastAsia="Times New Roman" w:hAnsi="Times New Roman" w:cs="Times New Roman"/>
          <w:color w:val="000000"/>
          <w:sz w:val="24"/>
          <w:szCs w:val="24"/>
          <w:lang w:val="en-US" w:bidi="en-US"/>
        </w:rPr>
        <w:t>Committee and approval of the Electrotechnical Division Council.</w:t>
      </w:r>
    </w:p>
    <w:p w14:paraId="11231BFC" w14:textId="77777777" w:rsidR="00380018" w:rsidRDefault="00380018" w:rsidP="00380018">
      <w:pPr>
        <w:pStyle w:val="Bodytext10"/>
        <w:spacing w:after="0"/>
        <w:jc w:val="both"/>
        <w:rPr>
          <w:rFonts w:ascii="Times New Roman" w:eastAsia="Times New Roman" w:hAnsi="Times New Roman" w:cs="Times New Roman"/>
          <w:color w:val="000000"/>
          <w:sz w:val="24"/>
          <w:szCs w:val="24"/>
          <w:lang w:val="en-US" w:bidi="en-US"/>
        </w:rPr>
      </w:pPr>
    </w:p>
    <w:p w14:paraId="73D161B4" w14:textId="12B20864" w:rsidR="0092381D" w:rsidRDefault="00380018" w:rsidP="00380018">
      <w:pPr>
        <w:spacing w:after="0"/>
        <w:jc w:val="both"/>
        <w:rPr>
          <w:rFonts w:ascii="Times New Roman" w:eastAsia="Times New Roman" w:hAnsi="Times New Roman" w:cs="Times New Roman"/>
          <w:sz w:val="24"/>
          <w:szCs w:val="24"/>
          <w:lang w:val="en-US" w:bidi="ar-SA"/>
        </w:rPr>
      </w:pPr>
      <w:r w:rsidRPr="00380018">
        <w:rPr>
          <w:rFonts w:ascii="Times New Roman" w:eastAsia="Times New Roman" w:hAnsi="Times New Roman" w:cs="Times New Roman"/>
          <w:sz w:val="24"/>
          <w:szCs w:val="24"/>
          <w:lang w:val="en-US" w:bidi="ar-SA"/>
        </w:rPr>
        <w:t>This standard was initially published in 1993 and subsequently revised based on IEC 60691:2015.</w:t>
      </w:r>
      <w:r w:rsidR="00CE67A7">
        <w:rPr>
          <w:rFonts w:ascii="Times New Roman" w:eastAsia="Times New Roman" w:hAnsi="Times New Roman" w:cs="Times New Roman"/>
          <w:sz w:val="24"/>
          <w:szCs w:val="24"/>
          <w:lang w:val="en-US" w:bidi="ar-SA"/>
        </w:rPr>
        <w:t xml:space="preserve"> </w:t>
      </w:r>
      <w:r w:rsidRPr="00380018">
        <w:rPr>
          <w:rFonts w:ascii="Times New Roman" w:eastAsia="Times New Roman" w:hAnsi="Times New Roman" w:cs="Times New Roman"/>
          <w:sz w:val="24"/>
          <w:szCs w:val="24"/>
          <w:lang w:val="en-US" w:bidi="ar-SA"/>
        </w:rPr>
        <w:t>The second revision of this standard has been undertaken to align it with the latest version of IEC</w:t>
      </w:r>
      <w:r w:rsidR="00D23385">
        <w:rPr>
          <w:rFonts w:ascii="Times New Roman" w:eastAsia="Times New Roman" w:hAnsi="Times New Roman" w:cs="Times New Roman"/>
          <w:sz w:val="24"/>
          <w:szCs w:val="24"/>
          <w:lang w:val="en-US" w:bidi="ar-SA"/>
        </w:rPr>
        <w:t xml:space="preserve"> standard</w:t>
      </w:r>
      <w:r w:rsidRPr="00380018">
        <w:rPr>
          <w:rFonts w:ascii="Times New Roman" w:eastAsia="Times New Roman" w:hAnsi="Times New Roman" w:cs="Times New Roman"/>
          <w:sz w:val="24"/>
          <w:szCs w:val="24"/>
          <w:lang w:val="en-US" w:bidi="ar-SA"/>
        </w:rPr>
        <w:t>.</w:t>
      </w:r>
    </w:p>
    <w:p w14:paraId="57BB3652" w14:textId="441FC945" w:rsidR="00D23385" w:rsidRDefault="00D23385" w:rsidP="00380018">
      <w:pPr>
        <w:spacing w:after="0"/>
        <w:jc w:val="both"/>
        <w:rPr>
          <w:rFonts w:ascii="Times New Roman" w:eastAsia="Times New Roman" w:hAnsi="Times New Roman" w:cs="Times New Roman"/>
          <w:sz w:val="24"/>
          <w:szCs w:val="24"/>
          <w:lang w:val="en-US" w:bidi="ar-SA"/>
        </w:rPr>
      </w:pPr>
    </w:p>
    <w:p w14:paraId="32395D98" w14:textId="2DAF2EE2" w:rsidR="00D23385" w:rsidRDefault="00D23385" w:rsidP="00D23385">
      <w:pPr>
        <w:spacing w:after="0"/>
        <w:jc w:val="both"/>
        <w:rPr>
          <w:rFonts w:ascii="Times New Roman" w:eastAsia="Times New Roman" w:hAnsi="Times New Roman" w:cs="Times New Roman"/>
          <w:sz w:val="24"/>
          <w:szCs w:val="24"/>
          <w:lang w:val="en-US" w:bidi="ar-SA"/>
        </w:rPr>
      </w:pPr>
      <w:r w:rsidRPr="00D23385">
        <w:rPr>
          <w:rFonts w:ascii="Times New Roman" w:eastAsia="Times New Roman" w:hAnsi="Times New Roman" w:cs="Times New Roman"/>
          <w:sz w:val="24"/>
          <w:szCs w:val="24"/>
          <w:lang w:val="en-US" w:bidi="ar-SA"/>
        </w:rPr>
        <w:t>This revision includes the following significant technical changes with respect to the previous version</w:t>
      </w:r>
      <w:r w:rsidR="009D104E">
        <w:rPr>
          <w:rFonts w:ascii="Times New Roman" w:eastAsia="Times New Roman" w:hAnsi="Times New Roman" w:cs="Times New Roman"/>
          <w:sz w:val="24"/>
          <w:szCs w:val="24"/>
          <w:lang w:val="en-US" w:bidi="ar-SA"/>
        </w:rPr>
        <w:t>:</w:t>
      </w:r>
      <w:bookmarkStart w:id="0" w:name="_GoBack"/>
      <w:bookmarkEnd w:id="0"/>
    </w:p>
    <w:p w14:paraId="69AB54DF" w14:textId="77777777" w:rsidR="00D23385" w:rsidRDefault="00D23385" w:rsidP="00D23385">
      <w:pPr>
        <w:spacing w:after="0"/>
        <w:jc w:val="both"/>
        <w:rPr>
          <w:rFonts w:ascii="Times New Roman" w:eastAsia="Times New Roman" w:hAnsi="Times New Roman" w:cs="Times New Roman"/>
          <w:sz w:val="24"/>
          <w:szCs w:val="24"/>
          <w:lang w:val="en-US" w:bidi="ar-SA"/>
        </w:rPr>
      </w:pPr>
    </w:p>
    <w:p w14:paraId="528FEB43" w14:textId="6CE3F030" w:rsidR="00D23385" w:rsidRDefault="00D23385" w:rsidP="00D23385">
      <w:pPr>
        <w:spacing w:after="0"/>
        <w:jc w:val="both"/>
        <w:rPr>
          <w:rFonts w:ascii="Times New Roman" w:hAnsi="Times New Roman" w:cs="Times New Roman"/>
          <w:sz w:val="24"/>
          <w:szCs w:val="24"/>
        </w:rPr>
      </w:pPr>
      <w:r w:rsidRPr="00D23385">
        <w:rPr>
          <w:rFonts w:ascii="Times New Roman" w:hAnsi="Times New Roman" w:cs="Times New Roman"/>
          <w:sz w:val="24"/>
          <w:szCs w:val="24"/>
        </w:rPr>
        <w:t>a) requirements for thermal-link packaged assemblies;</w:t>
      </w:r>
    </w:p>
    <w:p w14:paraId="7F8240F8" w14:textId="77777777" w:rsidR="00D23385" w:rsidRPr="00D23385" w:rsidRDefault="00D23385" w:rsidP="00D23385">
      <w:pPr>
        <w:spacing w:after="0"/>
        <w:jc w:val="both"/>
        <w:rPr>
          <w:rFonts w:ascii="Times New Roman" w:hAnsi="Times New Roman" w:cs="Times New Roman"/>
          <w:sz w:val="24"/>
          <w:szCs w:val="24"/>
        </w:rPr>
      </w:pPr>
    </w:p>
    <w:p w14:paraId="3D4F38B4" w14:textId="4108A9E4" w:rsidR="003820A3" w:rsidRDefault="00D23385" w:rsidP="00D23385">
      <w:pPr>
        <w:spacing w:after="0"/>
        <w:jc w:val="both"/>
        <w:rPr>
          <w:rFonts w:ascii="Times New Roman" w:hAnsi="Times New Roman" w:cs="Times New Roman"/>
          <w:sz w:val="24"/>
          <w:szCs w:val="24"/>
        </w:rPr>
      </w:pPr>
      <w:r w:rsidRPr="00D23385">
        <w:rPr>
          <w:rFonts w:ascii="Times New Roman" w:hAnsi="Times New Roman" w:cs="Times New Roman"/>
          <w:sz w:val="24"/>
          <w:szCs w:val="24"/>
        </w:rPr>
        <w:t xml:space="preserve">b) renew the requirements and definitions for </w:t>
      </w:r>
      <w:proofErr w:type="spellStart"/>
      <w:r w:rsidRPr="00D23385">
        <w:rPr>
          <w:rFonts w:ascii="Times New Roman" w:hAnsi="Times New Roman" w:cs="Times New Roman"/>
          <w:sz w:val="24"/>
          <w:szCs w:val="24"/>
        </w:rPr>
        <w:t>Th</w:t>
      </w:r>
      <w:proofErr w:type="spellEnd"/>
      <w:r w:rsidRPr="00D23385">
        <w:rPr>
          <w:rFonts w:ascii="Times New Roman" w:hAnsi="Times New Roman" w:cs="Times New Roman"/>
          <w:sz w:val="24"/>
          <w:szCs w:val="24"/>
        </w:rPr>
        <w:t>-test;</w:t>
      </w:r>
    </w:p>
    <w:p w14:paraId="046A6D1E" w14:textId="77777777" w:rsidR="00D23385" w:rsidRDefault="00D23385" w:rsidP="00D23385">
      <w:pPr>
        <w:spacing w:after="0"/>
        <w:jc w:val="both"/>
        <w:rPr>
          <w:rFonts w:ascii="Times New Roman" w:hAnsi="Times New Roman" w:cs="Times New Roman"/>
          <w:sz w:val="24"/>
          <w:szCs w:val="24"/>
        </w:rPr>
      </w:pPr>
    </w:p>
    <w:p w14:paraId="429E20F0" w14:textId="77777777" w:rsidR="00EB23D6" w:rsidRPr="00F4488A" w:rsidRDefault="00EB23D6" w:rsidP="00EB23D6">
      <w:pPr>
        <w:pStyle w:val="Bodytext10"/>
        <w:shd w:val="clear" w:color="auto" w:fill="auto"/>
        <w:jc w:val="both"/>
        <w:rPr>
          <w:rFonts w:ascii="Times New Roman" w:hAnsi="Times New Roman" w:cs="Times New Roman"/>
          <w:sz w:val="24"/>
          <w:szCs w:val="24"/>
        </w:rPr>
      </w:pPr>
      <w:r w:rsidRPr="00F4488A">
        <w:rPr>
          <w:rFonts w:ascii="Times New Roman" w:eastAsia="Times New Roman" w:hAnsi="Times New Roman" w:cs="Times New Roman"/>
          <w:color w:val="000000"/>
          <w:sz w:val="24"/>
          <w:szCs w:val="24"/>
          <w:lang w:val="en-US" w:bidi="en-US"/>
        </w:rPr>
        <w:t>The text of the IEC Standard has been approved as suitable for publication as an Indian Standard without deviations. Certain conventions are, however, not identical to those used in Indian Standards. Attention is particularly drawn to the following:</w:t>
      </w:r>
    </w:p>
    <w:p w14:paraId="47627C6A" w14:textId="77777777" w:rsidR="00EB23D6" w:rsidRPr="00F4488A" w:rsidRDefault="00EB23D6" w:rsidP="00EB23D6">
      <w:pPr>
        <w:pStyle w:val="Bodytext10"/>
        <w:numPr>
          <w:ilvl w:val="0"/>
          <w:numId w:val="1"/>
        </w:numPr>
        <w:shd w:val="clear" w:color="auto" w:fill="auto"/>
        <w:tabs>
          <w:tab w:val="left" w:pos="1100"/>
        </w:tabs>
        <w:spacing w:after="0"/>
        <w:ind w:left="1100" w:hanging="360"/>
        <w:jc w:val="both"/>
        <w:rPr>
          <w:rFonts w:ascii="Times New Roman" w:hAnsi="Times New Roman" w:cs="Times New Roman"/>
          <w:sz w:val="24"/>
          <w:szCs w:val="24"/>
        </w:rPr>
      </w:pPr>
      <w:r w:rsidRPr="00F4488A">
        <w:rPr>
          <w:rFonts w:ascii="Times New Roman" w:eastAsia="Times New Roman" w:hAnsi="Times New Roman" w:cs="Times New Roman"/>
          <w:color w:val="000000"/>
          <w:sz w:val="24"/>
          <w:szCs w:val="24"/>
          <w:lang w:val="en-US" w:bidi="en-US"/>
        </w:rPr>
        <w:t>Wherever the words ‘International Standard’ appears referring to this standard, they should be read as ‘Indian Standard’.</w:t>
      </w:r>
    </w:p>
    <w:p w14:paraId="284BD78F" w14:textId="77777777" w:rsidR="00D92796" w:rsidRPr="00F4488A" w:rsidRDefault="00D92796" w:rsidP="00D92796">
      <w:pPr>
        <w:pStyle w:val="Bodytext10"/>
        <w:shd w:val="clear" w:color="auto" w:fill="auto"/>
        <w:tabs>
          <w:tab w:val="left" w:pos="1100"/>
        </w:tabs>
        <w:spacing w:after="0"/>
        <w:ind w:left="1100"/>
        <w:jc w:val="both"/>
        <w:rPr>
          <w:rFonts w:ascii="Times New Roman" w:hAnsi="Times New Roman" w:cs="Times New Roman"/>
          <w:sz w:val="24"/>
          <w:szCs w:val="24"/>
        </w:rPr>
      </w:pPr>
    </w:p>
    <w:p w14:paraId="009955C1" w14:textId="77777777" w:rsidR="00EB23D6" w:rsidRPr="00F4488A" w:rsidRDefault="00EB23D6" w:rsidP="00EB23D6">
      <w:pPr>
        <w:pStyle w:val="Bodytext10"/>
        <w:numPr>
          <w:ilvl w:val="0"/>
          <w:numId w:val="1"/>
        </w:numPr>
        <w:shd w:val="clear" w:color="auto" w:fill="auto"/>
        <w:tabs>
          <w:tab w:val="left" w:pos="1100"/>
        </w:tabs>
        <w:ind w:left="1100" w:hanging="360"/>
        <w:jc w:val="both"/>
        <w:rPr>
          <w:rFonts w:ascii="Times New Roman" w:hAnsi="Times New Roman" w:cs="Times New Roman"/>
          <w:sz w:val="24"/>
          <w:szCs w:val="24"/>
        </w:rPr>
      </w:pPr>
      <w:r w:rsidRPr="00F4488A">
        <w:rPr>
          <w:rFonts w:ascii="Times New Roman" w:eastAsia="Times New Roman" w:hAnsi="Times New Roman" w:cs="Times New Roman"/>
          <w:color w:val="000000"/>
          <w:sz w:val="24"/>
          <w:szCs w:val="24"/>
          <w:lang w:val="en-US" w:bidi="en-US"/>
        </w:rPr>
        <w:t>Comma (,) has been used as a decimal marker, while in Indian Standards the current practice is to use a point (.) as the decimal marker.</w:t>
      </w:r>
    </w:p>
    <w:p w14:paraId="157B878F" w14:textId="77777777" w:rsidR="00EB23D6" w:rsidRDefault="00EB23D6" w:rsidP="00EB23D6">
      <w:pPr>
        <w:pStyle w:val="Bodytext10"/>
        <w:shd w:val="clear" w:color="auto" w:fill="auto"/>
        <w:jc w:val="both"/>
        <w:rPr>
          <w:rFonts w:ascii="Times New Roman" w:eastAsia="Times New Roman" w:hAnsi="Times New Roman" w:cs="Times New Roman"/>
          <w:color w:val="000000"/>
          <w:sz w:val="24"/>
          <w:szCs w:val="24"/>
          <w:lang w:val="en-US" w:bidi="en-US"/>
        </w:rPr>
      </w:pPr>
      <w:r w:rsidRPr="00F4488A">
        <w:rPr>
          <w:rFonts w:ascii="Times New Roman" w:eastAsia="Times New Roman" w:hAnsi="Times New Roman" w:cs="Times New Roman"/>
          <w:color w:val="000000"/>
          <w:sz w:val="24"/>
          <w:szCs w:val="24"/>
          <w:lang w:val="en-US" w:bidi="en-US"/>
        </w:rPr>
        <w:t>In this adopted standard, reference appears to International Standards for which Indian Standards also exists. The corresponding Indian Standards, which are to be substituted, are listed below along with their degree of equivalence for the editions indicated:</w:t>
      </w:r>
    </w:p>
    <w:tbl>
      <w:tblPr>
        <w:tblStyle w:val="TableGrid"/>
        <w:tblW w:w="9944" w:type="dxa"/>
        <w:tblLook w:val="04A0" w:firstRow="1" w:lastRow="0" w:firstColumn="1" w:lastColumn="0" w:noHBand="0" w:noVBand="1"/>
      </w:tblPr>
      <w:tblGrid>
        <w:gridCol w:w="3539"/>
        <w:gridCol w:w="3686"/>
        <w:gridCol w:w="2719"/>
      </w:tblGrid>
      <w:tr w:rsidR="008242B6" w:rsidRPr="00801335" w14:paraId="68EA5692" w14:textId="77777777" w:rsidTr="008D4743">
        <w:trPr>
          <w:trHeight w:val="420"/>
        </w:trPr>
        <w:tc>
          <w:tcPr>
            <w:tcW w:w="3539" w:type="dxa"/>
          </w:tcPr>
          <w:p w14:paraId="3F0C4680" w14:textId="77777777" w:rsidR="008242B6" w:rsidRPr="008D4743" w:rsidRDefault="008242B6" w:rsidP="00801335">
            <w:pPr>
              <w:rPr>
                <w:rFonts w:ascii="Times New Roman" w:hAnsi="Times New Roman" w:cs="Times New Roman"/>
                <w:b/>
                <w:bCs/>
                <w:i/>
                <w:iCs/>
                <w:sz w:val="24"/>
                <w:szCs w:val="24"/>
              </w:rPr>
            </w:pPr>
            <w:r w:rsidRPr="008D4743">
              <w:rPr>
                <w:rFonts w:ascii="Times New Roman" w:hAnsi="Times New Roman" w:cs="Times New Roman"/>
                <w:b/>
                <w:bCs/>
                <w:i/>
                <w:iCs/>
                <w:sz w:val="24"/>
                <w:szCs w:val="24"/>
              </w:rPr>
              <w:t>International Standard</w:t>
            </w:r>
          </w:p>
        </w:tc>
        <w:tc>
          <w:tcPr>
            <w:tcW w:w="3686" w:type="dxa"/>
          </w:tcPr>
          <w:p w14:paraId="54F981C4" w14:textId="77777777" w:rsidR="008242B6" w:rsidRPr="008D4743" w:rsidRDefault="008242B6" w:rsidP="00801335">
            <w:pPr>
              <w:rPr>
                <w:rFonts w:ascii="Times New Roman" w:hAnsi="Times New Roman" w:cs="Times New Roman"/>
                <w:b/>
                <w:bCs/>
                <w:i/>
                <w:iCs/>
                <w:sz w:val="24"/>
                <w:szCs w:val="24"/>
              </w:rPr>
            </w:pPr>
            <w:r w:rsidRPr="008D4743">
              <w:rPr>
                <w:rFonts w:ascii="Times New Roman" w:hAnsi="Times New Roman" w:cs="Times New Roman"/>
                <w:b/>
                <w:bCs/>
                <w:i/>
                <w:iCs/>
                <w:sz w:val="24"/>
                <w:szCs w:val="24"/>
              </w:rPr>
              <w:t>Corresponding Indian Standard</w:t>
            </w:r>
          </w:p>
        </w:tc>
        <w:tc>
          <w:tcPr>
            <w:tcW w:w="2719" w:type="dxa"/>
          </w:tcPr>
          <w:p w14:paraId="02F41586" w14:textId="77777777" w:rsidR="008242B6" w:rsidRPr="008D4743" w:rsidRDefault="008242B6" w:rsidP="00801335">
            <w:pPr>
              <w:rPr>
                <w:rFonts w:ascii="Times New Roman" w:hAnsi="Times New Roman" w:cs="Times New Roman"/>
                <w:b/>
                <w:bCs/>
                <w:i/>
                <w:iCs/>
                <w:sz w:val="24"/>
                <w:szCs w:val="24"/>
              </w:rPr>
            </w:pPr>
            <w:r w:rsidRPr="008D4743">
              <w:rPr>
                <w:rFonts w:ascii="Times New Roman" w:hAnsi="Times New Roman" w:cs="Times New Roman"/>
                <w:b/>
                <w:bCs/>
                <w:i/>
                <w:iCs/>
                <w:sz w:val="24"/>
                <w:szCs w:val="24"/>
              </w:rPr>
              <w:t>Degree of Equivalence</w:t>
            </w:r>
          </w:p>
        </w:tc>
      </w:tr>
      <w:tr w:rsidR="008242B6" w:rsidRPr="00801335" w14:paraId="17F5489A" w14:textId="77777777" w:rsidTr="008D4743">
        <w:trPr>
          <w:trHeight w:val="161"/>
        </w:trPr>
        <w:tc>
          <w:tcPr>
            <w:tcW w:w="3539" w:type="dxa"/>
          </w:tcPr>
          <w:p w14:paraId="03E03097" w14:textId="77777777" w:rsidR="003055BA" w:rsidRPr="003055BA" w:rsidRDefault="003055BA" w:rsidP="003055BA">
            <w:pPr>
              <w:jc w:val="both"/>
              <w:rPr>
                <w:rFonts w:ascii="Times New Roman" w:hAnsi="Times New Roman" w:cs="Times New Roman"/>
                <w:sz w:val="24"/>
                <w:szCs w:val="24"/>
              </w:rPr>
            </w:pPr>
            <w:r w:rsidRPr="003055BA">
              <w:rPr>
                <w:rFonts w:ascii="Times New Roman" w:hAnsi="Times New Roman" w:cs="Times New Roman"/>
                <w:sz w:val="24"/>
                <w:szCs w:val="24"/>
              </w:rPr>
              <w:t>IEC 60065:2014, Audio, video and</w:t>
            </w:r>
          </w:p>
          <w:p w14:paraId="2E252766" w14:textId="78395C0F" w:rsidR="008242B6" w:rsidRPr="00801335" w:rsidRDefault="003055BA" w:rsidP="003055BA">
            <w:pPr>
              <w:jc w:val="both"/>
              <w:rPr>
                <w:rFonts w:ascii="Times New Roman" w:hAnsi="Times New Roman" w:cs="Times New Roman"/>
                <w:sz w:val="24"/>
                <w:szCs w:val="24"/>
              </w:rPr>
            </w:pPr>
            <w:r w:rsidRPr="003055BA">
              <w:rPr>
                <w:rFonts w:ascii="Times New Roman" w:hAnsi="Times New Roman" w:cs="Times New Roman"/>
                <w:sz w:val="24"/>
                <w:szCs w:val="24"/>
              </w:rPr>
              <w:t>similar electronic apparatus – Safety</w:t>
            </w:r>
            <w:r>
              <w:rPr>
                <w:rFonts w:ascii="Times New Roman" w:hAnsi="Times New Roman" w:cs="Times New Roman"/>
                <w:sz w:val="24"/>
                <w:szCs w:val="24"/>
              </w:rPr>
              <w:t xml:space="preserve"> </w:t>
            </w:r>
            <w:r w:rsidRPr="003055BA">
              <w:rPr>
                <w:rFonts w:ascii="Times New Roman" w:hAnsi="Times New Roman" w:cs="Times New Roman"/>
                <w:sz w:val="24"/>
                <w:szCs w:val="24"/>
              </w:rPr>
              <w:t>requirements</w:t>
            </w:r>
          </w:p>
        </w:tc>
        <w:tc>
          <w:tcPr>
            <w:tcW w:w="3686" w:type="dxa"/>
          </w:tcPr>
          <w:p w14:paraId="4C4C52AB" w14:textId="77777777" w:rsidR="003055BA" w:rsidRPr="003055BA" w:rsidRDefault="003055BA" w:rsidP="003055BA">
            <w:pPr>
              <w:jc w:val="both"/>
              <w:rPr>
                <w:rFonts w:ascii="Times New Roman" w:hAnsi="Times New Roman" w:cs="Times New Roman"/>
                <w:sz w:val="24"/>
                <w:szCs w:val="24"/>
              </w:rPr>
            </w:pPr>
            <w:r w:rsidRPr="003055BA">
              <w:rPr>
                <w:rFonts w:ascii="Times New Roman" w:hAnsi="Times New Roman" w:cs="Times New Roman"/>
                <w:sz w:val="24"/>
                <w:szCs w:val="24"/>
              </w:rPr>
              <w:t>IS 616 : 2017, Audio, video and</w:t>
            </w:r>
          </w:p>
          <w:p w14:paraId="270C37D3" w14:textId="77777777" w:rsidR="003055BA" w:rsidRPr="003055BA" w:rsidRDefault="003055BA" w:rsidP="003055BA">
            <w:pPr>
              <w:jc w:val="both"/>
              <w:rPr>
                <w:rFonts w:ascii="Times New Roman" w:hAnsi="Times New Roman" w:cs="Times New Roman"/>
                <w:sz w:val="24"/>
                <w:szCs w:val="24"/>
              </w:rPr>
            </w:pPr>
            <w:r w:rsidRPr="003055BA">
              <w:rPr>
                <w:rFonts w:ascii="Times New Roman" w:hAnsi="Times New Roman" w:cs="Times New Roman"/>
                <w:sz w:val="24"/>
                <w:szCs w:val="24"/>
              </w:rPr>
              <w:t>similar electronic apparatus - Safety</w:t>
            </w:r>
          </w:p>
          <w:p w14:paraId="62654F64" w14:textId="1AC65AFE" w:rsidR="008242B6" w:rsidRPr="00801335" w:rsidRDefault="003055BA" w:rsidP="003055BA">
            <w:pPr>
              <w:jc w:val="both"/>
              <w:rPr>
                <w:rFonts w:ascii="Times New Roman" w:hAnsi="Times New Roman" w:cs="Times New Roman"/>
                <w:sz w:val="24"/>
                <w:szCs w:val="24"/>
              </w:rPr>
            </w:pPr>
            <w:r w:rsidRPr="003055BA">
              <w:rPr>
                <w:rFonts w:ascii="Times New Roman" w:hAnsi="Times New Roman" w:cs="Times New Roman"/>
                <w:sz w:val="24"/>
                <w:szCs w:val="24"/>
              </w:rPr>
              <w:t>requirements</w:t>
            </w:r>
          </w:p>
        </w:tc>
        <w:tc>
          <w:tcPr>
            <w:tcW w:w="2719" w:type="dxa"/>
          </w:tcPr>
          <w:p w14:paraId="63A3A4C7" w14:textId="00702EC8" w:rsidR="008242B6" w:rsidRPr="00801335" w:rsidRDefault="003055BA" w:rsidP="006174BB">
            <w:pPr>
              <w:rPr>
                <w:rFonts w:ascii="Times New Roman" w:hAnsi="Times New Roman" w:cs="Times New Roman"/>
                <w:sz w:val="24"/>
                <w:szCs w:val="24"/>
              </w:rPr>
            </w:pPr>
            <w:r w:rsidRPr="003055BA">
              <w:rPr>
                <w:rFonts w:ascii="Times New Roman" w:hAnsi="Times New Roman" w:cs="Times New Roman"/>
                <w:sz w:val="24"/>
                <w:szCs w:val="24"/>
              </w:rPr>
              <w:t>Identical</w:t>
            </w:r>
          </w:p>
        </w:tc>
      </w:tr>
      <w:tr w:rsidR="008242B6" w:rsidRPr="00801335" w14:paraId="0E9A6928" w14:textId="77777777" w:rsidTr="00CE67A7">
        <w:trPr>
          <w:trHeight w:val="1197"/>
        </w:trPr>
        <w:tc>
          <w:tcPr>
            <w:tcW w:w="3539" w:type="dxa"/>
          </w:tcPr>
          <w:p w14:paraId="4A873729" w14:textId="77777777" w:rsidR="003055BA" w:rsidRPr="003055BA" w:rsidRDefault="003055BA" w:rsidP="003055BA">
            <w:pPr>
              <w:jc w:val="both"/>
              <w:rPr>
                <w:rFonts w:ascii="Times New Roman" w:hAnsi="Times New Roman" w:cs="Times New Roman"/>
                <w:sz w:val="24"/>
                <w:szCs w:val="24"/>
              </w:rPr>
            </w:pPr>
            <w:r w:rsidRPr="003055BA">
              <w:rPr>
                <w:rFonts w:ascii="Times New Roman" w:hAnsi="Times New Roman" w:cs="Times New Roman"/>
                <w:sz w:val="24"/>
                <w:szCs w:val="24"/>
              </w:rPr>
              <w:t>IEC 60112:2020, Method for the</w:t>
            </w:r>
          </w:p>
          <w:p w14:paraId="405C099E" w14:textId="77777777" w:rsidR="003055BA" w:rsidRPr="003055BA" w:rsidRDefault="003055BA" w:rsidP="003055BA">
            <w:pPr>
              <w:jc w:val="both"/>
              <w:rPr>
                <w:rFonts w:ascii="Times New Roman" w:hAnsi="Times New Roman" w:cs="Times New Roman"/>
                <w:sz w:val="24"/>
                <w:szCs w:val="24"/>
              </w:rPr>
            </w:pPr>
            <w:r w:rsidRPr="003055BA">
              <w:rPr>
                <w:rFonts w:ascii="Times New Roman" w:hAnsi="Times New Roman" w:cs="Times New Roman"/>
                <w:sz w:val="24"/>
                <w:szCs w:val="24"/>
              </w:rPr>
              <w:t>determination of the proof and the</w:t>
            </w:r>
          </w:p>
          <w:p w14:paraId="37EEFB69" w14:textId="5F982F68" w:rsidR="008242B6" w:rsidRPr="00801335" w:rsidRDefault="003055BA" w:rsidP="003055BA">
            <w:pPr>
              <w:jc w:val="both"/>
              <w:rPr>
                <w:rFonts w:ascii="Times New Roman" w:hAnsi="Times New Roman" w:cs="Times New Roman"/>
                <w:sz w:val="24"/>
                <w:szCs w:val="24"/>
              </w:rPr>
            </w:pPr>
            <w:r w:rsidRPr="003055BA">
              <w:rPr>
                <w:rFonts w:ascii="Times New Roman" w:hAnsi="Times New Roman" w:cs="Times New Roman"/>
                <w:sz w:val="24"/>
                <w:szCs w:val="24"/>
              </w:rPr>
              <w:t>comparative tracking indices of solid</w:t>
            </w:r>
            <w:r>
              <w:rPr>
                <w:rFonts w:ascii="Times New Roman" w:hAnsi="Times New Roman" w:cs="Times New Roman"/>
                <w:sz w:val="24"/>
                <w:szCs w:val="24"/>
              </w:rPr>
              <w:t xml:space="preserve"> </w:t>
            </w:r>
            <w:r w:rsidRPr="003055BA">
              <w:rPr>
                <w:rFonts w:ascii="Times New Roman" w:hAnsi="Times New Roman" w:cs="Times New Roman"/>
                <w:sz w:val="24"/>
                <w:szCs w:val="24"/>
              </w:rPr>
              <w:t>insulating materials</w:t>
            </w:r>
          </w:p>
        </w:tc>
        <w:tc>
          <w:tcPr>
            <w:tcW w:w="3686" w:type="dxa"/>
          </w:tcPr>
          <w:p w14:paraId="40719DB6" w14:textId="77777777" w:rsidR="003055BA" w:rsidRPr="003055BA" w:rsidRDefault="003055BA" w:rsidP="003055BA">
            <w:pPr>
              <w:jc w:val="both"/>
              <w:rPr>
                <w:rFonts w:ascii="Times New Roman" w:hAnsi="Times New Roman" w:cs="Times New Roman"/>
                <w:sz w:val="24"/>
                <w:szCs w:val="24"/>
              </w:rPr>
            </w:pPr>
            <w:r w:rsidRPr="003055BA">
              <w:rPr>
                <w:rFonts w:ascii="Times New Roman" w:hAnsi="Times New Roman" w:cs="Times New Roman"/>
                <w:sz w:val="24"/>
                <w:szCs w:val="24"/>
              </w:rPr>
              <w:t>IS 2824: 2007 Method for the</w:t>
            </w:r>
          </w:p>
          <w:p w14:paraId="61BC1326" w14:textId="77777777" w:rsidR="003055BA" w:rsidRPr="003055BA" w:rsidRDefault="003055BA" w:rsidP="003055BA">
            <w:pPr>
              <w:jc w:val="both"/>
              <w:rPr>
                <w:rFonts w:ascii="Times New Roman" w:hAnsi="Times New Roman" w:cs="Times New Roman"/>
                <w:sz w:val="24"/>
                <w:szCs w:val="24"/>
              </w:rPr>
            </w:pPr>
            <w:r w:rsidRPr="003055BA">
              <w:rPr>
                <w:rFonts w:ascii="Times New Roman" w:hAnsi="Times New Roman" w:cs="Times New Roman"/>
                <w:sz w:val="24"/>
                <w:szCs w:val="24"/>
              </w:rPr>
              <w:t>determination of the proof and the</w:t>
            </w:r>
          </w:p>
          <w:p w14:paraId="662FBF36" w14:textId="27B7816B" w:rsidR="008242B6" w:rsidRPr="00801335" w:rsidRDefault="003055BA" w:rsidP="003055BA">
            <w:pPr>
              <w:jc w:val="both"/>
              <w:rPr>
                <w:rFonts w:ascii="Times New Roman" w:hAnsi="Times New Roman" w:cs="Times New Roman"/>
                <w:sz w:val="24"/>
                <w:szCs w:val="24"/>
              </w:rPr>
            </w:pPr>
            <w:r w:rsidRPr="003055BA">
              <w:rPr>
                <w:rFonts w:ascii="Times New Roman" w:hAnsi="Times New Roman" w:cs="Times New Roman"/>
                <w:sz w:val="24"/>
                <w:szCs w:val="24"/>
              </w:rPr>
              <w:t>comparative tracking indices of solid</w:t>
            </w:r>
            <w:r>
              <w:rPr>
                <w:rFonts w:ascii="Times New Roman" w:hAnsi="Times New Roman" w:cs="Times New Roman"/>
                <w:sz w:val="24"/>
                <w:szCs w:val="24"/>
              </w:rPr>
              <w:t xml:space="preserve"> </w:t>
            </w:r>
            <w:r w:rsidRPr="003055BA">
              <w:rPr>
                <w:rFonts w:ascii="Times New Roman" w:hAnsi="Times New Roman" w:cs="Times New Roman"/>
                <w:sz w:val="24"/>
                <w:szCs w:val="24"/>
              </w:rPr>
              <w:t>insulating materials</w:t>
            </w:r>
          </w:p>
        </w:tc>
        <w:tc>
          <w:tcPr>
            <w:tcW w:w="2719" w:type="dxa"/>
          </w:tcPr>
          <w:p w14:paraId="50C7732D" w14:textId="4D5A9033" w:rsidR="008242B6" w:rsidRPr="00801335" w:rsidRDefault="003055BA" w:rsidP="006174BB">
            <w:pPr>
              <w:rPr>
                <w:rFonts w:ascii="Times New Roman" w:hAnsi="Times New Roman" w:cs="Times New Roman"/>
                <w:sz w:val="24"/>
                <w:szCs w:val="24"/>
              </w:rPr>
            </w:pPr>
            <w:r w:rsidRPr="003055BA">
              <w:rPr>
                <w:rFonts w:ascii="Times New Roman" w:hAnsi="Times New Roman" w:cs="Times New Roman"/>
                <w:sz w:val="24"/>
                <w:szCs w:val="24"/>
              </w:rPr>
              <w:t xml:space="preserve">Identical </w:t>
            </w:r>
            <w:r w:rsidR="00474FC9">
              <w:rPr>
                <w:rFonts w:ascii="Times New Roman" w:hAnsi="Times New Roman" w:cs="Times New Roman"/>
                <w:sz w:val="24"/>
                <w:szCs w:val="24"/>
              </w:rPr>
              <w:t>w</w:t>
            </w:r>
            <w:r w:rsidRPr="003055BA">
              <w:rPr>
                <w:rFonts w:ascii="Times New Roman" w:hAnsi="Times New Roman" w:cs="Times New Roman"/>
                <w:sz w:val="24"/>
                <w:szCs w:val="24"/>
              </w:rPr>
              <w:t>ith IEC 60112 :</w:t>
            </w:r>
            <w:r>
              <w:rPr>
                <w:rFonts w:ascii="Times New Roman" w:hAnsi="Times New Roman" w:cs="Times New Roman"/>
                <w:sz w:val="24"/>
                <w:szCs w:val="24"/>
              </w:rPr>
              <w:t xml:space="preserve"> </w:t>
            </w:r>
            <w:r w:rsidRPr="003055BA">
              <w:rPr>
                <w:rFonts w:ascii="Times New Roman" w:hAnsi="Times New Roman" w:cs="Times New Roman"/>
                <w:sz w:val="24"/>
                <w:szCs w:val="24"/>
              </w:rPr>
              <w:t>2003</w:t>
            </w:r>
          </w:p>
        </w:tc>
      </w:tr>
      <w:tr w:rsidR="008242B6" w:rsidRPr="00801335" w14:paraId="183838F7" w14:textId="77777777" w:rsidTr="008D4743">
        <w:trPr>
          <w:trHeight w:val="358"/>
        </w:trPr>
        <w:tc>
          <w:tcPr>
            <w:tcW w:w="3539" w:type="dxa"/>
          </w:tcPr>
          <w:p w14:paraId="54C0D4E8" w14:textId="62199620" w:rsidR="008242B6" w:rsidRPr="00801335" w:rsidRDefault="003055BA" w:rsidP="003055BA">
            <w:pPr>
              <w:jc w:val="both"/>
              <w:rPr>
                <w:rFonts w:ascii="Times New Roman" w:hAnsi="Times New Roman" w:cs="Times New Roman"/>
                <w:sz w:val="24"/>
                <w:szCs w:val="24"/>
              </w:rPr>
            </w:pPr>
            <w:r w:rsidRPr="003055BA">
              <w:rPr>
                <w:rFonts w:ascii="Times New Roman" w:hAnsi="Times New Roman" w:cs="Times New Roman"/>
                <w:sz w:val="24"/>
                <w:szCs w:val="24"/>
              </w:rPr>
              <w:t>IEC 60127-2:2014, Miniature fuses –</w:t>
            </w:r>
            <w:r>
              <w:rPr>
                <w:rFonts w:ascii="Times New Roman" w:hAnsi="Times New Roman" w:cs="Times New Roman"/>
                <w:sz w:val="24"/>
                <w:szCs w:val="24"/>
              </w:rPr>
              <w:t xml:space="preserve"> </w:t>
            </w:r>
            <w:r w:rsidRPr="003055BA">
              <w:rPr>
                <w:rFonts w:ascii="Times New Roman" w:hAnsi="Times New Roman" w:cs="Times New Roman"/>
                <w:sz w:val="24"/>
                <w:szCs w:val="24"/>
              </w:rPr>
              <w:t>Part 2: Cartridge fuse-links</w:t>
            </w:r>
          </w:p>
        </w:tc>
        <w:tc>
          <w:tcPr>
            <w:tcW w:w="3686" w:type="dxa"/>
          </w:tcPr>
          <w:p w14:paraId="71ED4827" w14:textId="0477AC2F" w:rsidR="003055BA" w:rsidRPr="00CE67A7" w:rsidRDefault="00CE67A7" w:rsidP="003055BA">
            <w:pPr>
              <w:jc w:val="both"/>
              <w:rPr>
                <w:rFonts w:ascii="Times New Roman" w:hAnsi="Times New Roman" w:cs="Times New Roman"/>
                <w:sz w:val="24"/>
                <w:szCs w:val="24"/>
              </w:rPr>
            </w:pPr>
            <w:r w:rsidRPr="00CE67A7">
              <w:rPr>
                <w:rFonts w:ascii="Times New Roman" w:hAnsi="Times New Roman" w:cs="Times New Roman"/>
                <w:sz w:val="24"/>
                <w:szCs w:val="24"/>
              </w:rPr>
              <w:t>IS/IEC 60127-</w:t>
            </w:r>
            <w:proofErr w:type="gramStart"/>
            <w:r w:rsidRPr="00CE67A7">
              <w:rPr>
                <w:rFonts w:ascii="Times New Roman" w:hAnsi="Times New Roman" w:cs="Times New Roman"/>
                <w:sz w:val="24"/>
                <w:szCs w:val="24"/>
              </w:rPr>
              <w:t>2 :</w:t>
            </w:r>
            <w:proofErr w:type="gramEnd"/>
            <w:r w:rsidRPr="00CE67A7">
              <w:rPr>
                <w:rFonts w:ascii="Times New Roman" w:hAnsi="Times New Roman" w:cs="Times New Roman"/>
                <w:sz w:val="24"/>
                <w:szCs w:val="24"/>
              </w:rPr>
              <w:t xml:space="preserve"> 2003</w:t>
            </w:r>
            <w:r w:rsidR="003055BA" w:rsidRPr="00CE67A7">
              <w:rPr>
                <w:rFonts w:ascii="Times New Roman" w:hAnsi="Times New Roman" w:cs="Times New Roman"/>
                <w:sz w:val="24"/>
                <w:szCs w:val="24"/>
              </w:rPr>
              <w:t>, Miniature</w:t>
            </w:r>
          </w:p>
          <w:p w14:paraId="04B4BD06" w14:textId="36F5E7CB" w:rsidR="008242B6" w:rsidRPr="007A19FC" w:rsidRDefault="003055BA" w:rsidP="003055BA">
            <w:pPr>
              <w:jc w:val="both"/>
              <w:rPr>
                <w:rFonts w:ascii="Times New Roman" w:hAnsi="Times New Roman" w:cs="Times New Roman"/>
              </w:rPr>
            </w:pPr>
            <w:r w:rsidRPr="00CE67A7">
              <w:rPr>
                <w:rFonts w:ascii="Times New Roman" w:hAnsi="Times New Roman" w:cs="Times New Roman"/>
                <w:sz w:val="24"/>
                <w:szCs w:val="24"/>
              </w:rPr>
              <w:t>Fuses – Part 2: Cartridge Fuse-Links</w:t>
            </w:r>
          </w:p>
        </w:tc>
        <w:tc>
          <w:tcPr>
            <w:tcW w:w="2719" w:type="dxa"/>
          </w:tcPr>
          <w:p w14:paraId="24C44282" w14:textId="546E7040" w:rsidR="008242B6" w:rsidRPr="00801335" w:rsidRDefault="00E80A8F" w:rsidP="006174BB">
            <w:pPr>
              <w:rPr>
                <w:rFonts w:ascii="Times New Roman" w:hAnsi="Times New Roman" w:cs="Times New Roman"/>
                <w:sz w:val="24"/>
                <w:szCs w:val="24"/>
              </w:rPr>
            </w:pPr>
            <w:r w:rsidRPr="00E80A8F">
              <w:rPr>
                <w:rFonts w:ascii="Times New Roman" w:hAnsi="Times New Roman" w:cs="Times New Roman"/>
                <w:sz w:val="24"/>
                <w:szCs w:val="24"/>
              </w:rPr>
              <w:t>Identical with IEC 60127-2</w:t>
            </w:r>
            <w:r w:rsidR="00CE67A7">
              <w:rPr>
                <w:rFonts w:ascii="Times New Roman" w:hAnsi="Times New Roman" w:cs="Times New Roman"/>
                <w:sz w:val="24"/>
                <w:szCs w:val="24"/>
              </w:rPr>
              <w:t>:2003</w:t>
            </w:r>
          </w:p>
        </w:tc>
      </w:tr>
      <w:tr w:rsidR="008242B6" w:rsidRPr="00801335" w14:paraId="147C236B" w14:textId="77777777" w:rsidTr="008D4743">
        <w:trPr>
          <w:trHeight w:val="350"/>
        </w:trPr>
        <w:tc>
          <w:tcPr>
            <w:tcW w:w="3539" w:type="dxa"/>
          </w:tcPr>
          <w:p w14:paraId="2EBCB6BA" w14:textId="77777777" w:rsidR="00EA4308" w:rsidRPr="00EA4308" w:rsidRDefault="006161B9" w:rsidP="00EA4308">
            <w:pPr>
              <w:jc w:val="both"/>
              <w:rPr>
                <w:rFonts w:ascii="Times New Roman" w:hAnsi="Times New Roman" w:cs="Times New Roman"/>
                <w:sz w:val="24"/>
                <w:szCs w:val="24"/>
              </w:rPr>
            </w:pPr>
            <w:r w:rsidRPr="006161B9">
              <w:rPr>
                <w:rFonts w:ascii="Times New Roman" w:hAnsi="Times New Roman" w:cs="Times New Roman"/>
                <w:sz w:val="24"/>
                <w:szCs w:val="24"/>
              </w:rPr>
              <w:t>IEC 60216-5:2008, Electrical</w:t>
            </w:r>
            <w:r w:rsidR="00EA4308">
              <w:rPr>
                <w:rFonts w:ascii="Times New Roman" w:hAnsi="Times New Roman" w:cs="Times New Roman"/>
                <w:sz w:val="24"/>
                <w:szCs w:val="24"/>
              </w:rPr>
              <w:t xml:space="preserve"> </w:t>
            </w:r>
            <w:r w:rsidR="00EA4308" w:rsidRPr="00EA4308">
              <w:rPr>
                <w:rFonts w:ascii="Times New Roman" w:hAnsi="Times New Roman" w:cs="Times New Roman"/>
                <w:sz w:val="24"/>
                <w:szCs w:val="24"/>
              </w:rPr>
              <w:t>insulating materials – Thermal</w:t>
            </w:r>
          </w:p>
          <w:p w14:paraId="18BABF96" w14:textId="77777777" w:rsidR="00EA4308" w:rsidRPr="00EA4308" w:rsidRDefault="00EA4308" w:rsidP="00EA4308">
            <w:pPr>
              <w:jc w:val="both"/>
              <w:rPr>
                <w:rFonts w:ascii="Times New Roman" w:hAnsi="Times New Roman" w:cs="Times New Roman"/>
                <w:sz w:val="24"/>
                <w:szCs w:val="24"/>
              </w:rPr>
            </w:pPr>
            <w:r w:rsidRPr="00EA4308">
              <w:rPr>
                <w:rFonts w:ascii="Times New Roman" w:hAnsi="Times New Roman" w:cs="Times New Roman"/>
                <w:sz w:val="24"/>
                <w:szCs w:val="24"/>
              </w:rPr>
              <w:t>endurance properties – Part 5:</w:t>
            </w:r>
          </w:p>
          <w:p w14:paraId="4F5491F1" w14:textId="77777777" w:rsidR="00EA4308" w:rsidRPr="00EA4308" w:rsidRDefault="00EA4308" w:rsidP="00EA4308">
            <w:pPr>
              <w:jc w:val="both"/>
              <w:rPr>
                <w:rFonts w:ascii="Times New Roman" w:hAnsi="Times New Roman" w:cs="Times New Roman"/>
                <w:sz w:val="24"/>
                <w:szCs w:val="24"/>
              </w:rPr>
            </w:pPr>
            <w:r w:rsidRPr="00EA4308">
              <w:rPr>
                <w:rFonts w:ascii="Times New Roman" w:hAnsi="Times New Roman" w:cs="Times New Roman"/>
                <w:sz w:val="24"/>
                <w:szCs w:val="24"/>
              </w:rPr>
              <w:t>Determination of relative thermal</w:t>
            </w:r>
          </w:p>
          <w:p w14:paraId="7A6FAA15" w14:textId="77777777" w:rsidR="00EA4308" w:rsidRPr="00EA4308" w:rsidRDefault="00EA4308" w:rsidP="00EA4308">
            <w:pPr>
              <w:jc w:val="both"/>
              <w:rPr>
                <w:rFonts w:ascii="Times New Roman" w:hAnsi="Times New Roman" w:cs="Times New Roman"/>
                <w:sz w:val="24"/>
                <w:szCs w:val="24"/>
              </w:rPr>
            </w:pPr>
            <w:r w:rsidRPr="00EA4308">
              <w:rPr>
                <w:rFonts w:ascii="Times New Roman" w:hAnsi="Times New Roman" w:cs="Times New Roman"/>
                <w:sz w:val="24"/>
                <w:szCs w:val="24"/>
              </w:rPr>
              <w:t>endurance index (RTE) of an</w:t>
            </w:r>
          </w:p>
          <w:p w14:paraId="2BF5287A" w14:textId="28DCD82C" w:rsidR="008242B6" w:rsidRPr="00801335" w:rsidRDefault="00EA4308" w:rsidP="00EA4308">
            <w:pPr>
              <w:jc w:val="both"/>
              <w:rPr>
                <w:rFonts w:ascii="Times New Roman" w:hAnsi="Times New Roman" w:cs="Times New Roman"/>
                <w:sz w:val="24"/>
                <w:szCs w:val="24"/>
              </w:rPr>
            </w:pPr>
            <w:r w:rsidRPr="00EA4308">
              <w:rPr>
                <w:rFonts w:ascii="Times New Roman" w:hAnsi="Times New Roman" w:cs="Times New Roman"/>
                <w:sz w:val="24"/>
                <w:szCs w:val="24"/>
              </w:rPr>
              <w:lastRenderedPageBreak/>
              <w:t>insulating material</w:t>
            </w:r>
          </w:p>
        </w:tc>
        <w:tc>
          <w:tcPr>
            <w:tcW w:w="3686" w:type="dxa"/>
          </w:tcPr>
          <w:p w14:paraId="4E99D613" w14:textId="77777777" w:rsidR="00EA4308" w:rsidRPr="00EA4308" w:rsidRDefault="006161B9" w:rsidP="00EA4308">
            <w:pPr>
              <w:jc w:val="both"/>
              <w:rPr>
                <w:rFonts w:ascii="Times New Roman" w:hAnsi="Times New Roman" w:cs="Times New Roman"/>
                <w:sz w:val="24"/>
                <w:szCs w:val="24"/>
              </w:rPr>
            </w:pPr>
            <w:r w:rsidRPr="006161B9">
              <w:rPr>
                <w:rFonts w:ascii="Times New Roman" w:hAnsi="Times New Roman" w:cs="Times New Roman"/>
                <w:sz w:val="24"/>
                <w:szCs w:val="24"/>
              </w:rPr>
              <w:lastRenderedPageBreak/>
              <w:t>IS 8504 (Part 6) : 2012 Electrical</w:t>
            </w:r>
            <w:r w:rsidR="00EA4308">
              <w:rPr>
                <w:rFonts w:ascii="Times New Roman" w:hAnsi="Times New Roman" w:cs="Times New Roman"/>
                <w:sz w:val="24"/>
                <w:szCs w:val="24"/>
              </w:rPr>
              <w:t xml:space="preserve"> </w:t>
            </w:r>
            <w:r w:rsidR="00EA4308" w:rsidRPr="00EA4308">
              <w:rPr>
                <w:rFonts w:ascii="Times New Roman" w:hAnsi="Times New Roman" w:cs="Times New Roman"/>
                <w:sz w:val="24"/>
                <w:szCs w:val="24"/>
              </w:rPr>
              <w:t>insulating materials - Thermal</w:t>
            </w:r>
          </w:p>
          <w:p w14:paraId="7EB67FE0" w14:textId="77777777" w:rsidR="00EA4308" w:rsidRPr="00EA4308" w:rsidRDefault="00EA4308" w:rsidP="00EA4308">
            <w:pPr>
              <w:jc w:val="both"/>
              <w:rPr>
                <w:rFonts w:ascii="Times New Roman" w:hAnsi="Times New Roman" w:cs="Times New Roman"/>
                <w:sz w:val="24"/>
                <w:szCs w:val="24"/>
              </w:rPr>
            </w:pPr>
            <w:r w:rsidRPr="00EA4308">
              <w:rPr>
                <w:rFonts w:ascii="Times New Roman" w:hAnsi="Times New Roman" w:cs="Times New Roman"/>
                <w:sz w:val="24"/>
                <w:szCs w:val="24"/>
              </w:rPr>
              <w:t>endurance properties: Part 6</w:t>
            </w:r>
          </w:p>
          <w:p w14:paraId="3A54A092" w14:textId="77777777" w:rsidR="00EA4308" w:rsidRPr="00EA4308" w:rsidRDefault="00EA4308" w:rsidP="00EA4308">
            <w:pPr>
              <w:jc w:val="both"/>
              <w:rPr>
                <w:rFonts w:ascii="Times New Roman" w:hAnsi="Times New Roman" w:cs="Times New Roman"/>
                <w:sz w:val="24"/>
                <w:szCs w:val="24"/>
              </w:rPr>
            </w:pPr>
            <w:r w:rsidRPr="00EA4308">
              <w:rPr>
                <w:rFonts w:ascii="Times New Roman" w:hAnsi="Times New Roman" w:cs="Times New Roman"/>
                <w:sz w:val="24"/>
                <w:szCs w:val="24"/>
              </w:rPr>
              <w:t>determination of relative thermal</w:t>
            </w:r>
          </w:p>
          <w:p w14:paraId="5BA0E5F7" w14:textId="77777777" w:rsidR="00EA4308" w:rsidRPr="00EA4308" w:rsidRDefault="00EA4308" w:rsidP="00EA4308">
            <w:pPr>
              <w:jc w:val="both"/>
              <w:rPr>
                <w:rFonts w:ascii="Times New Roman" w:hAnsi="Times New Roman" w:cs="Times New Roman"/>
                <w:sz w:val="24"/>
                <w:szCs w:val="24"/>
              </w:rPr>
            </w:pPr>
            <w:r w:rsidRPr="00EA4308">
              <w:rPr>
                <w:rFonts w:ascii="Times New Roman" w:hAnsi="Times New Roman" w:cs="Times New Roman"/>
                <w:sz w:val="24"/>
                <w:szCs w:val="24"/>
              </w:rPr>
              <w:t>endurance index (RTE) of an</w:t>
            </w:r>
          </w:p>
          <w:p w14:paraId="6D6484B8" w14:textId="46A32845" w:rsidR="008242B6" w:rsidRPr="00801335" w:rsidRDefault="00EA4308" w:rsidP="00EA4308">
            <w:pPr>
              <w:jc w:val="both"/>
              <w:rPr>
                <w:rFonts w:ascii="Times New Roman" w:hAnsi="Times New Roman" w:cs="Times New Roman"/>
                <w:sz w:val="24"/>
                <w:szCs w:val="24"/>
              </w:rPr>
            </w:pPr>
            <w:r w:rsidRPr="00EA4308">
              <w:rPr>
                <w:rFonts w:ascii="Times New Roman" w:hAnsi="Times New Roman" w:cs="Times New Roman"/>
                <w:sz w:val="24"/>
                <w:szCs w:val="24"/>
              </w:rPr>
              <w:lastRenderedPageBreak/>
              <w:t>insulating material</w:t>
            </w:r>
          </w:p>
        </w:tc>
        <w:tc>
          <w:tcPr>
            <w:tcW w:w="2719" w:type="dxa"/>
          </w:tcPr>
          <w:p w14:paraId="44448A58" w14:textId="052B2B2C" w:rsidR="008242B6" w:rsidRPr="00801335" w:rsidRDefault="006161B9" w:rsidP="006174BB">
            <w:pPr>
              <w:rPr>
                <w:rFonts w:ascii="Times New Roman" w:hAnsi="Times New Roman" w:cs="Times New Roman"/>
                <w:sz w:val="24"/>
                <w:szCs w:val="24"/>
              </w:rPr>
            </w:pPr>
            <w:r w:rsidRPr="006161B9">
              <w:rPr>
                <w:rFonts w:ascii="Times New Roman" w:hAnsi="Times New Roman" w:cs="Times New Roman"/>
                <w:sz w:val="24"/>
                <w:szCs w:val="24"/>
              </w:rPr>
              <w:lastRenderedPageBreak/>
              <w:t>Identical</w:t>
            </w:r>
          </w:p>
        </w:tc>
      </w:tr>
      <w:tr w:rsidR="009308A6" w:rsidRPr="00801335" w14:paraId="115DC7A2" w14:textId="77777777" w:rsidTr="008D4743">
        <w:trPr>
          <w:trHeight w:val="350"/>
        </w:trPr>
        <w:tc>
          <w:tcPr>
            <w:tcW w:w="3539" w:type="dxa"/>
          </w:tcPr>
          <w:p w14:paraId="531019EF"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lastRenderedPageBreak/>
              <w:t>IEC 60664-1:2020, Insulation</w:t>
            </w:r>
          </w:p>
          <w:p w14:paraId="2BBFD7A4"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coordination for equipment within</w:t>
            </w:r>
          </w:p>
          <w:p w14:paraId="064FFB43" w14:textId="59E41637" w:rsidR="00F00666" w:rsidRPr="006161B9" w:rsidRDefault="009308A6" w:rsidP="00BB5775">
            <w:pPr>
              <w:jc w:val="both"/>
              <w:rPr>
                <w:rFonts w:ascii="Times New Roman" w:hAnsi="Times New Roman" w:cs="Times New Roman"/>
                <w:sz w:val="24"/>
                <w:szCs w:val="24"/>
              </w:rPr>
            </w:pPr>
            <w:r w:rsidRPr="009308A6">
              <w:rPr>
                <w:rFonts w:ascii="Times New Roman" w:hAnsi="Times New Roman" w:cs="Times New Roman"/>
                <w:sz w:val="24"/>
                <w:szCs w:val="24"/>
              </w:rPr>
              <w:t>low-voltage supply systems – Part 1:</w:t>
            </w:r>
            <w:r>
              <w:rPr>
                <w:rFonts w:ascii="Times New Roman" w:hAnsi="Times New Roman" w:cs="Times New Roman"/>
                <w:sz w:val="24"/>
                <w:szCs w:val="24"/>
              </w:rPr>
              <w:t xml:space="preserve"> </w:t>
            </w:r>
            <w:r w:rsidRPr="009308A6">
              <w:rPr>
                <w:rFonts w:ascii="Times New Roman" w:hAnsi="Times New Roman" w:cs="Times New Roman"/>
                <w:sz w:val="24"/>
                <w:szCs w:val="24"/>
              </w:rPr>
              <w:t>Principles, requirements and tests</w:t>
            </w:r>
          </w:p>
        </w:tc>
        <w:tc>
          <w:tcPr>
            <w:tcW w:w="3686" w:type="dxa"/>
          </w:tcPr>
          <w:p w14:paraId="6F735125"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IS 15382 (Part 1) : 2022, Insulation</w:t>
            </w:r>
          </w:p>
          <w:p w14:paraId="35FCF4E6"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Coordination for Equipment Within</w:t>
            </w:r>
          </w:p>
          <w:p w14:paraId="444BEA28"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Low-Voltage Systems – Part 1:</w:t>
            </w:r>
          </w:p>
          <w:p w14:paraId="4566F129" w14:textId="2F62C8C3" w:rsidR="009308A6" w:rsidRPr="006161B9"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Principles, Requirements and Tests</w:t>
            </w:r>
          </w:p>
        </w:tc>
        <w:tc>
          <w:tcPr>
            <w:tcW w:w="2719" w:type="dxa"/>
          </w:tcPr>
          <w:p w14:paraId="5EC529A6" w14:textId="461C90AD" w:rsidR="00CE67A7" w:rsidRPr="006161B9" w:rsidRDefault="009308A6" w:rsidP="00CE67A7">
            <w:pPr>
              <w:rPr>
                <w:rFonts w:ascii="Times New Roman" w:hAnsi="Times New Roman" w:cs="Times New Roman"/>
                <w:sz w:val="24"/>
                <w:szCs w:val="24"/>
              </w:rPr>
            </w:pPr>
            <w:r w:rsidRPr="009308A6">
              <w:rPr>
                <w:rFonts w:ascii="Times New Roman" w:hAnsi="Times New Roman" w:cs="Times New Roman"/>
                <w:sz w:val="24"/>
                <w:szCs w:val="24"/>
              </w:rPr>
              <w:t xml:space="preserve">Identical </w:t>
            </w:r>
          </w:p>
          <w:p w14:paraId="193E9819" w14:textId="6423E2D1" w:rsidR="009308A6" w:rsidRPr="006161B9" w:rsidRDefault="009308A6" w:rsidP="006174BB">
            <w:pPr>
              <w:rPr>
                <w:rFonts w:ascii="Times New Roman" w:hAnsi="Times New Roman" w:cs="Times New Roman"/>
                <w:sz w:val="24"/>
                <w:szCs w:val="24"/>
              </w:rPr>
            </w:pPr>
          </w:p>
        </w:tc>
      </w:tr>
      <w:tr w:rsidR="009308A6" w:rsidRPr="00801335" w14:paraId="59EF8F3F" w14:textId="77777777" w:rsidTr="008D4743">
        <w:trPr>
          <w:trHeight w:val="350"/>
        </w:trPr>
        <w:tc>
          <w:tcPr>
            <w:tcW w:w="3539" w:type="dxa"/>
          </w:tcPr>
          <w:p w14:paraId="4E4AC379"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IEC 60695-2-12:2021, Fire hazard</w:t>
            </w:r>
          </w:p>
          <w:p w14:paraId="0976A03E" w14:textId="51DAB4A5" w:rsidR="009308A6" w:rsidRPr="006161B9"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testing – Part 2-12: Glowing/hot-wire</w:t>
            </w:r>
            <w:r>
              <w:rPr>
                <w:rFonts w:ascii="Times New Roman" w:hAnsi="Times New Roman" w:cs="Times New Roman"/>
                <w:sz w:val="24"/>
                <w:szCs w:val="24"/>
              </w:rPr>
              <w:t xml:space="preserve"> </w:t>
            </w:r>
            <w:r w:rsidRPr="009308A6">
              <w:rPr>
                <w:rFonts w:ascii="Times New Roman" w:hAnsi="Times New Roman" w:cs="Times New Roman"/>
                <w:sz w:val="24"/>
                <w:szCs w:val="24"/>
              </w:rPr>
              <w:t>based test methods – Glow-wire</w:t>
            </w:r>
            <w:r>
              <w:rPr>
                <w:rFonts w:ascii="Times New Roman" w:hAnsi="Times New Roman" w:cs="Times New Roman"/>
                <w:sz w:val="24"/>
                <w:szCs w:val="24"/>
              </w:rPr>
              <w:t xml:space="preserve"> </w:t>
            </w:r>
            <w:r w:rsidRPr="009308A6">
              <w:rPr>
                <w:rFonts w:ascii="Times New Roman" w:hAnsi="Times New Roman" w:cs="Times New Roman"/>
                <w:sz w:val="24"/>
                <w:szCs w:val="24"/>
              </w:rPr>
              <w:t>flammability index (GWFI) test</w:t>
            </w:r>
            <w:r>
              <w:rPr>
                <w:rFonts w:ascii="Times New Roman" w:hAnsi="Times New Roman" w:cs="Times New Roman"/>
                <w:sz w:val="24"/>
                <w:szCs w:val="24"/>
              </w:rPr>
              <w:t xml:space="preserve"> </w:t>
            </w:r>
            <w:r w:rsidRPr="009308A6">
              <w:rPr>
                <w:rFonts w:ascii="Times New Roman" w:hAnsi="Times New Roman" w:cs="Times New Roman"/>
                <w:sz w:val="24"/>
                <w:szCs w:val="24"/>
              </w:rPr>
              <w:t>method for materials</w:t>
            </w:r>
          </w:p>
        </w:tc>
        <w:tc>
          <w:tcPr>
            <w:tcW w:w="3686" w:type="dxa"/>
          </w:tcPr>
          <w:p w14:paraId="33BE59E1"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IS/IEC 60695-2-12 : 2021, Fire</w:t>
            </w:r>
          </w:p>
          <w:p w14:paraId="26EE1B01" w14:textId="61F41202" w:rsidR="009308A6" w:rsidRPr="006161B9" w:rsidRDefault="009308A6" w:rsidP="007A68D9">
            <w:pPr>
              <w:jc w:val="both"/>
              <w:rPr>
                <w:rFonts w:ascii="Times New Roman" w:hAnsi="Times New Roman" w:cs="Times New Roman"/>
                <w:sz w:val="24"/>
                <w:szCs w:val="24"/>
              </w:rPr>
            </w:pPr>
            <w:r w:rsidRPr="009308A6">
              <w:rPr>
                <w:rFonts w:ascii="Times New Roman" w:hAnsi="Times New Roman" w:cs="Times New Roman"/>
                <w:sz w:val="24"/>
                <w:szCs w:val="24"/>
              </w:rPr>
              <w:t>Hazard Testing Part 2: Glowing/hotwire</w:t>
            </w:r>
            <w:r w:rsidR="007A68D9">
              <w:rPr>
                <w:rFonts w:ascii="Times New Roman" w:hAnsi="Times New Roman" w:cs="Times New Roman"/>
                <w:sz w:val="24"/>
                <w:szCs w:val="24"/>
              </w:rPr>
              <w:t xml:space="preserve"> </w:t>
            </w:r>
            <w:r w:rsidRPr="009308A6">
              <w:rPr>
                <w:rFonts w:ascii="Times New Roman" w:hAnsi="Times New Roman" w:cs="Times New Roman"/>
                <w:sz w:val="24"/>
                <w:szCs w:val="24"/>
              </w:rPr>
              <w:t>based test methods Section 12:</w:t>
            </w:r>
            <w:r w:rsidR="007A68D9">
              <w:rPr>
                <w:rFonts w:ascii="Times New Roman" w:hAnsi="Times New Roman" w:cs="Times New Roman"/>
                <w:sz w:val="24"/>
                <w:szCs w:val="24"/>
              </w:rPr>
              <w:t xml:space="preserve"> </w:t>
            </w:r>
            <w:r w:rsidRPr="009308A6">
              <w:rPr>
                <w:rFonts w:ascii="Times New Roman" w:hAnsi="Times New Roman" w:cs="Times New Roman"/>
                <w:sz w:val="24"/>
                <w:szCs w:val="24"/>
              </w:rPr>
              <w:t>Glow-wire flammability index GWFI</w:t>
            </w:r>
            <w:r w:rsidR="007A68D9">
              <w:rPr>
                <w:rFonts w:ascii="Times New Roman" w:hAnsi="Times New Roman" w:cs="Times New Roman"/>
                <w:sz w:val="24"/>
                <w:szCs w:val="24"/>
              </w:rPr>
              <w:t xml:space="preserve"> </w:t>
            </w:r>
            <w:r w:rsidRPr="009308A6">
              <w:rPr>
                <w:rFonts w:ascii="Times New Roman" w:hAnsi="Times New Roman" w:cs="Times New Roman"/>
                <w:sz w:val="24"/>
                <w:szCs w:val="24"/>
              </w:rPr>
              <w:t>Test method for materials</w:t>
            </w:r>
          </w:p>
        </w:tc>
        <w:tc>
          <w:tcPr>
            <w:tcW w:w="2719" w:type="dxa"/>
          </w:tcPr>
          <w:p w14:paraId="178EBCD9" w14:textId="023E8023" w:rsidR="009308A6" w:rsidRPr="006161B9" w:rsidRDefault="009308A6" w:rsidP="006174BB">
            <w:pPr>
              <w:rPr>
                <w:rFonts w:ascii="Times New Roman" w:hAnsi="Times New Roman" w:cs="Times New Roman"/>
                <w:sz w:val="24"/>
                <w:szCs w:val="24"/>
              </w:rPr>
            </w:pPr>
            <w:r w:rsidRPr="009308A6">
              <w:rPr>
                <w:rFonts w:ascii="Times New Roman" w:hAnsi="Times New Roman" w:cs="Times New Roman"/>
                <w:sz w:val="24"/>
                <w:szCs w:val="24"/>
              </w:rPr>
              <w:t>Identical</w:t>
            </w:r>
          </w:p>
        </w:tc>
      </w:tr>
      <w:tr w:rsidR="009308A6" w:rsidRPr="00801335" w14:paraId="0A3061B8" w14:textId="77777777" w:rsidTr="008D4743">
        <w:trPr>
          <w:trHeight w:val="350"/>
        </w:trPr>
        <w:tc>
          <w:tcPr>
            <w:tcW w:w="3539" w:type="dxa"/>
          </w:tcPr>
          <w:p w14:paraId="0C945468"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IEC 60695-2-13:2021, Fire hazard</w:t>
            </w:r>
          </w:p>
          <w:p w14:paraId="2B76A182" w14:textId="24A6206A" w:rsidR="009308A6" w:rsidRPr="006161B9"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testing – Part 2-13: Glowing/hot-wire</w:t>
            </w:r>
            <w:r>
              <w:rPr>
                <w:rFonts w:ascii="Times New Roman" w:hAnsi="Times New Roman" w:cs="Times New Roman"/>
                <w:sz w:val="24"/>
                <w:szCs w:val="24"/>
              </w:rPr>
              <w:t xml:space="preserve"> </w:t>
            </w:r>
            <w:r w:rsidRPr="009308A6">
              <w:rPr>
                <w:rFonts w:ascii="Times New Roman" w:hAnsi="Times New Roman" w:cs="Times New Roman"/>
                <w:sz w:val="24"/>
                <w:szCs w:val="24"/>
              </w:rPr>
              <w:t>based test methods – Glow-wire</w:t>
            </w:r>
            <w:r>
              <w:rPr>
                <w:rFonts w:ascii="Times New Roman" w:hAnsi="Times New Roman" w:cs="Times New Roman"/>
                <w:sz w:val="24"/>
                <w:szCs w:val="24"/>
              </w:rPr>
              <w:t xml:space="preserve"> </w:t>
            </w:r>
            <w:r w:rsidRPr="009308A6">
              <w:rPr>
                <w:rFonts w:ascii="Times New Roman" w:hAnsi="Times New Roman" w:cs="Times New Roman"/>
                <w:sz w:val="24"/>
                <w:szCs w:val="24"/>
              </w:rPr>
              <w:t>ignition temperature (GWIT) test</w:t>
            </w:r>
            <w:r>
              <w:rPr>
                <w:rFonts w:ascii="Times New Roman" w:hAnsi="Times New Roman" w:cs="Times New Roman"/>
                <w:sz w:val="24"/>
                <w:szCs w:val="24"/>
              </w:rPr>
              <w:t xml:space="preserve"> </w:t>
            </w:r>
            <w:r w:rsidRPr="009308A6">
              <w:rPr>
                <w:rFonts w:ascii="Times New Roman" w:hAnsi="Times New Roman" w:cs="Times New Roman"/>
                <w:sz w:val="24"/>
                <w:szCs w:val="24"/>
              </w:rPr>
              <w:t>method for materials</w:t>
            </w:r>
          </w:p>
        </w:tc>
        <w:tc>
          <w:tcPr>
            <w:tcW w:w="3686" w:type="dxa"/>
          </w:tcPr>
          <w:p w14:paraId="08C42A46"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IS/IEC 60695-2-13 : 2021, Fire</w:t>
            </w:r>
          </w:p>
          <w:p w14:paraId="68967287"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 xml:space="preserve">Hazard Testing Part 2 </w:t>
            </w:r>
            <w:proofErr w:type="spellStart"/>
            <w:r w:rsidRPr="009308A6">
              <w:rPr>
                <w:rFonts w:ascii="Times New Roman" w:hAnsi="Times New Roman" w:cs="Times New Roman"/>
                <w:sz w:val="24"/>
                <w:szCs w:val="24"/>
              </w:rPr>
              <w:t>GlowingHot</w:t>
            </w:r>
            <w:proofErr w:type="spellEnd"/>
          </w:p>
          <w:p w14:paraId="6EB4A099"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wire based test methods Section 13</w:t>
            </w:r>
          </w:p>
          <w:p w14:paraId="2281FB94"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Glow-wire ignition temperature</w:t>
            </w:r>
          </w:p>
          <w:p w14:paraId="011EC149" w14:textId="6F9D291D" w:rsidR="009308A6" w:rsidRPr="006161B9"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GWIT test method for materials</w:t>
            </w:r>
          </w:p>
        </w:tc>
        <w:tc>
          <w:tcPr>
            <w:tcW w:w="2719" w:type="dxa"/>
          </w:tcPr>
          <w:p w14:paraId="13E9C4D2" w14:textId="1370F47F" w:rsidR="009308A6" w:rsidRPr="006161B9" w:rsidRDefault="009308A6" w:rsidP="006174BB">
            <w:pPr>
              <w:rPr>
                <w:rFonts w:ascii="Times New Roman" w:hAnsi="Times New Roman" w:cs="Times New Roman"/>
                <w:sz w:val="24"/>
                <w:szCs w:val="24"/>
              </w:rPr>
            </w:pPr>
            <w:r w:rsidRPr="009308A6">
              <w:rPr>
                <w:rFonts w:ascii="Times New Roman" w:hAnsi="Times New Roman" w:cs="Times New Roman"/>
                <w:sz w:val="24"/>
                <w:szCs w:val="24"/>
              </w:rPr>
              <w:t>Identical</w:t>
            </w:r>
          </w:p>
        </w:tc>
      </w:tr>
      <w:tr w:rsidR="009308A6" w:rsidRPr="00801335" w14:paraId="3D9E97F0" w14:textId="77777777" w:rsidTr="008D4743">
        <w:trPr>
          <w:trHeight w:val="350"/>
        </w:trPr>
        <w:tc>
          <w:tcPr>
            <w:tcW w:w="3539" w:type="dxa"/>
          </w:tcPr>
          <w:p w14:paraId="4FC5C878"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IEC 60695-10-2:2014, Fire hazard</w:t>
            </w:r>
          </w:p>
          <w:p w14:paraId="513D63B9" w14:textId="0D016B9A" w:rsidR="009308A6" w:rsidRPr="006161B9"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testing – Part 10-2: Abnormal heat –</w:t>
            </w:r>
            <w:r>
              <w:rPr>
                <w:rFonts w:ascii="Times New Roman" w:hAnsi="Times New Roman" w:cs="Times New Roman"/>
                <w:sz w:val="24"/>
                <w:szCs w:val="24"/>
              </w:rPr>
              <w:t xml:space="preserve"> </w:t>
            </w:r>
            <w:r w:rsidRPr="009308A6">
              <w:rPr>
                <w:rFonts w:ascii="Times New Roman" w:hAnsi="Times New Roman" w:cs="Times New Roman"/>
                <w:sz w:val="24"/>
                <w:szCs w:val="24"/>
              </w:rPr>
              <w:t>Ball pressure test method</w:t>
            </w:r>
          </w:p>
        </w:tc>
        <w:tc>
          <w:tcPr>
            <w:tcW w:w="3686" w:type="dxa"/>
          </w:tcPr>
          <w:p w14:paraId="77645498"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IS/IEC 60695-10-2: 2014 - Fire</w:t>
            </w:r>
          </w:p>
          <w:p w14:paraId="5F0E5516"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Hazard Testing Part 10 Abnormal</w:t>
            </w:r>
          </w:p>
          <w:p w14:paraId="43E30F39"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Heat Section 2 Ball pressure test</w:t>
            </w:r>
          </w:p>
          <w:p w14:paraId="3B2788EC" w14:textId="78CBDC90" w:rsidR="009308A6" w:rsidRPr="006161B9"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method</w:t>
            </w:r>
          </w:p>
        </w:tc>
        <w:tc>
          <w:tcPr>
            <w:tcW w:w="2719" w:type="dxa"/>
          </w:tcPr>
          <w:p w14:paraId="76BCA1F8" w14:textId="3B557749" w:rsidR="009308A6" w:rsidRPr="006161B9" w:rsidRDefault="009308A6" w:rsidP="006174BB">
            <w:pPr>
              <w:rPr>
                <w:rFonts w:ascii="Times New Roman" w:hAnsi="Times New Roman" w:cs="Times New Roman"/>
                <w:sz w:val="24"/>
                <w:szCs w:val="24"/>
              </w:rPr>
            </w:pPr>
            <w:r w:rsidRPr="009308A6">
              <w:rPr>
                <w:rFonts w:ascii="Times New Roman" w:hAnsi="Times New Roman" w:cs="Times New Roman"/>
                <w:sz w:val="24"/>
                <w:szCs w:val="24"/>
              </w:rPr>
              <w:t>Identical</w:t>
            </w:r>
          </w:p>
        </w:tc>
      </w:tr>
      <w:tr w:rsidR="009308A6" w:rsidRPr="00801335" w14:paraId="6EAC061A" w14:textId="77777777" w:rsidTr="008D4743">
        <w:trPr>
          <w:trHeight w:val="350"/>
        </w:trPr>
        <w:tc>
          <w:tcPr>
            <w:tcW w:w="3539" w:type="dxa"/>
          </w:tcPr>
          <w:p w14:paraId="1DCA3FC0" w14:textId="59083621" w:rsidR="009308A6" w:rsidRPr="006161B9"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IEC 60695-11-10:2013, Fire hazard</w:t>
            </w:r>
            <w:r>
              <w:rPr>
                <w:rFonts w:ascii="Times New Roman" w:hAnsi="Times New Roman" w:cs="Times New Roman"/>
                <w:sz w:val="24"/>
                <w:szCs w:val="24"/>
              </w:rPr>
              <w:t xml:space="preserve"> </w:t>
            </w:r>
            <w:r w:rsidRPr="009308A6">
              <w:rPr>
                <w:rFonts w:ascii="Times New Roman" w:hAnsi="Times New Roman" w:cs="Times New Roman"/>
                <w:sz w:val="24"/>
                <w:szCs w:val="24"/>
              </w:rPr>
              <w:t>testing – Part 11-10: Test flames – 50</w:t>
            </w:r>
            <w:r>
              <w:rPr>
                <w:rFonts w:ascii="Times New Roman" w:hAnsi="Times New Roman" w:cs="Times New Roman"/>
                <w:sz w:val="24"/>
                <w:szCs w:val="24"/>
              </w:rPr>
              <w:t xml:space="preserve"> </w:t>
            </w:r>
            <w:r w:rsidRPr="009308A6">
              <w:rPr>
                <w:rFonts w:ascii="Times New Roman" w:hAnsi="Times New Roman" w:cs="Times New Roman"/>
                <w:sz w:val="24"/>
                <w:szCs w:val="24"/>
              </w:rPr>
              <w:t>W horizontal and vertical flame test</w:t>
            </w:r>
            <w:r>
              <w:rPr>
                <w:rFonts w:ascii="Times New Roman" w:hAnsi="Times New Roman" w:cs="Times New Roman"/>
                <w:sz w:val="24"/>
                <w:szCs w:val="24"/>
              </w:rPr>
              <w:t xml:space="preserve"> </w:t>
            </w:r>
            <w:r w:rsidRPr="009308A6">
              <w:rPr>
                <w:rFonts w:ascii="Times New Roman" w:hAnsi="Times New Roman" w:cs="Times New Roman"/>
                <w:sz w:val="24"/>
                <w:szCs w:val="24"/>
              </w:rPr>
              <w:t>methods</w:t>
            </w:r>
          </w:p>
        </w:tc>
        <w:tc>
          <w:tcPr>
            <w:tcW w:w="3686" w:type="dxa"/>
          </w:tcPr>
          <w:p w14:paraId="72FC6CEF" w14:textId="31A1F9FC" w:rsidR="009308A6" w:rsidRPr="006161B9"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IS/IEC 60695 (Part 11/Sec 10) 2013,</w:t>
            </w:r>
            <w:r>
              <w:rPr>
                <w:rFonts w:ascii="Times New Roman" w:hAnsi="Times New Roman" w:cs="Times New Roman"/>
                <w:sz w:val="24"/>
                <w:szCs w:val="24"/>
              </w:rPr>
              <w:t xml:space="preserve"> </w:t>
            </w:r>
            <w:r w:rsidRPr="009308A6">
              <w:rPr>
                <w:rFonts w:ascii="Times New Roman" w:hAnsi="Times New Roman" w:cs="Times New Roman"/>
                <w:sz w:val="24"/>
                <w:szCs w:val="24"/>
              </w:rPr>
              <w:t>Fire hazard testing: Part 11 test</w:t>
            </w:r>
            <w:r>
              <w:rPr>
                <w:rFonts w:ascii="Times New Roman" w:hAnsi="Times New Roman" w:cs="Times New Roman"/>
                <w:sz w:val="24"/>
                <w:szCs w:val="24"/>
              </w:rPr>
              <w:t xml:space="preserve"> </w:t>
            </w:r>
            <w:r w:rsidRPr="009308A6">
              <w:rPr>
                <w:rFonts w:ascii="Times New Roman" w:hAnsi="Times New Roman" w:cs="Times New Roman"/>
                <w:sz w:val="24"/>
                <w:szCs w:val="24"/>
              </w:rPr>
              <w:t>flames : Sec 10 50 w horizontal and</w:t>
            </w:r>
            <w:r>
              <w:rPr>
                <w:rFonts w:ascii="Times New Roman" w:hAnsi="Times New Roman" w:cs="Times New Roman"/>
                <w:sz w:val="24"/>
                <w:szCs w:val="24"/>
              </w:rPr>
              <w:t xml:space="preserve"> </w:t>
            </w:r>
            <w:r w:rsidRPr="009308A6">
              <w:rPr>
                <w:rFonts w:ascii="Times New Roman" w:hAnsi="Times New Roman" w:cs="Times New Roman"/>
                <w:sz w:val="24"/>
                <w:szCs w:val="24"/>
              </w:rPr>
              <w:t>vertical flame test methods</w:t>
            </w:r>
          </w:p>
        </w:tc>
        <w:tc>
          <w:tcPr>
            <w:tcW w:w="2719" w:type="dxa"/>
          </w:tcPr>
          <w:p w14:paraId="58EBF1E7" w14:textId="30970F7A" w:rsidR="009308A6" w:rsidRPr="006161B9" w:rsidRDefault="009308A6" w:rsidP="006174BB">
            <w:pPr>
              <w:rPr>
                <w:rFonts w:ascii="Times New Roman" w:hAnsi="Times New Roman" w:cs="Times New Roman"/>
                <w:sz w:val="24"/>
                <w:szCs w:val="24"/>
              </w:rPr>
            </w:pPr>
            <w:r w:rsidRPr="009308A6">
              <w:rPr>
                <w:rFonts w:ascii="Times New Roman" w:hAnsi="Times New Roman" w:cs="Times New Roman"/>
                <w:sz w:val="24"/>
                <w:szCs w:val="24"/>
              </w:rPr>
              <w:t>Identical</w:t>
            </w:r>
          </w:p>
        </w:tc>
      </w:tr>
      <w:tr w:rsidR="009308A6" w:rsidRPr="00801335" w14:paraId="7DA0A30F" w14:textId="77777777" w:rsidTr="008D4743">
        <w:trPr>
          <w:trHeight w:val="350"/>
        </w:trPr>
        <w:tc>
          <w:tcPr>
            <w:tcW w:w="3539" w:type="dxa"/>
          </w:tcPr>
          <w:p w14:paraId="366678A7"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IEC 60730-1:2013, Automatic</w:t>
            </w:r>
          </w:p>
          <w:p w14:paraId="35B2B56D" w14:textId="5685809F" w:rsidR="009308A6" w:rsidRPr="006161B9"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electrical controls – Part 1: General</w:t>
            </w:r>
            <w:r>
              <w:rPr>
                <w:rFonts w:ascii="Times New Roman" w:hAnsi="Times New Roman" w:cs="Times New Roman"/>
                <w:sz w:val="24"/>
                <w:szCs w:val="24"/>
              </w:rPr>
              <w:t xml:space="preserve"> </w:t>
            </w:r>
            <w:r w:rsidRPr="009308A6">
              <w:rPr>
                <w:rFonts w:ascii="Times New Roman" w:hAnsi="Times New Roman" w:cs="Times New Roman"/>
                <w:sz w:val="24"/>
                <w:szCs w:val="24"/>
              </w:rPr>
              <w:t>requirements IEC</w:t>
            </w:r>
            <w:r>
              <w:rPr>
                <w:rFonts w:ascii="Times New Roman" w:hAnsi="Times New Roman" w:cs="Times New Roman"/>
                <w:sz w:val="24"/>
                <w:szCs w:val="24"/>
              </w:rPr>
              <w:t xml:space="preserve"> </w:t>
            </w:r>
            <w:r w:rsidRPr="009308A6">
              <w:rPr>
                <w:rFonts w:ascii="Times New Roman" w:hAnsi="Times New Roman" w:cs="Times New Roman"/>
                <w:sz w:val="24"/>
                <w:szCs w:val="24"/>
              </w:rPr>
              <w:t>60730-1:2013/AMD1:2015 IEC</w:t>
            </w:r>
            <w:r>
              <w:rPr>
                <w:rFonts w:ascii="Times New Roman" w:hAnsi="Times New Roman" w:cs="Times New Roman"/>
                <w:sz w:val="24"/>
                <w:szCs w:val="24"/>
              </w:rPr>
              <w:t xml:space="preserve"> </w:t>
            </w:r>
            <w:r w:rsidRPr="009308A6">
              <w:rPr>
                <w:rFonts w:ascii="Times New Roman" w:hAnsi="Times New Roman" w:cs="Times New Roman"/>
                <w:sz w:val="24"/>
                <w:szCs w:val="24"/>
              </w:rPr>
              <w:t>60730-1:2013/AMD2:2020</w:t>
            </w:r>
          </w:p>
        </w:tc>
        <w:tc>
          <w:tcPr>
            <w:tcW w:w="3686" w:type="dxa"/>
          </w:tcPr>
          <w:p w14:paraId="55C0EF8A"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IS/IEC 60730-1 : 1999 - Automatic</w:t>
            </w:r>
          </w:p>
          <w:p w14:paraId="65B2720C"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electrical controls for household and</w:t>
            </w:r>
          </w:p>
          <w:p w14:paraId="09CE2C4D" w14:textId="77777777" w:rsidR="009308A6" w:rsidRPr="009308A6"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similar use : part 1 General</w:t>
            </w:r>
          </w:p>
          <w:p w14:paraId="23E6F1A3" w14:textId="458635B4" w:rsidR="009308A6" w:rsidRPr="006161B9" w:rsidRDefault="009308A6" w:rsidP="009308A6">
            <w:pPr>
              <w:jc w:val="both"/>
              <w:rPr>
                <w:rFonts w:ascii="Times New Roman" w:hAnsi="Times New Roman" w:cs="Times New Roman"/>
                <w:sz w:val="24"/>
                <w:szCs w:val="24"/>
              </w:rPr>
            </w:pPr>
            <w:r w:rsidRPr="009308A6">
              <w:rPr>
                <w:rFonts w:ascii="Times New Roman" w:hAnsi="Times New Roman" w:cs="Times New Roman"/>
                <w:sz w:val="24"/>
                <w:szCs w:val="24"/>
              </w:rPr>
              <w:t>Requirements</w:t>
            </w:r>
          </w:p>
        </w:tc>
        <w:tc>
          <w:tcPr>
            <w:tcW w:w="2719" w:type="dxa"/>
          </w:tcPr>
          <w:p w14:paraId="254089BE" w14:textId="77777777" w:rsidR="009308A6" w:rsidRPr="009308A6" w:rsidRDefault="009308A6" w:rsidP="006174BB">
            <w:pPr>
              <w:rPr>
                <w:rFonts w:ascii="Times New Roman" w:hAnsi="Times New Roman" w:cs="Times New Roman"/>
                <w:sz w:val="24"/>
                <w:szCs w:val="24"/>
              </w:rPr>
            </w:pPr>
            <w:r w:rsidRPr="009308A6">
              <w:rPr>
                <w:rFonts w:ascii="Times New Roman" w:hAnsi="Times New Roman" w:cs="Times New Roman"/>
                <w:sz w:val="24"/>
                <w:szCs w:val="24"/>
              </w:rPr>
              <w:t>Identical with IEC 60730-1 :</w:t>
            </w:r>
          </w:p>
          <w:p w14:paraId="6DD0C84A" w14:textId="37F0F47F" w:rsidR="009308A6" w:rsidRPr="006161B9" w:rsidRDefault="009308A6" w:rsidP="006174BB">
            <w:pPr>
              <w:rPr>
                <w:rFonts w:ascii="Times New Roman" w:hAnsi="Times New Roman" w:cs="Times New Roman"/>
                <w:sz w:val="24"/>
                <w:szCs w:val="24"/>
              </w:rPr>
            </w:pPr>
            <w:r w:rsidRPr="009308A6">
              <w:rPr>
                <w:rFonts w:ascii="Times New Roman" w:hAnsi="Times New Roman" w:cs="Times New Roman"/>
                <w:sz w:val="24"/>
                <w:szCs w:val="24"/>
              </w:rPr>
              <w:t>1999</w:t>
            </w:r>
          </w:p>
        </w:tc>
      </w:tr>
    </w:tbl>
    <w:p w14:paraId="0D1BC666" w14:textId="77777777" w:rsidR="008242B6" w:rsidRDefault="008242B6" w:rsidP="009F51C6">
      <w:pPr>
        <w:pStyle w:val="Bodytext10"/>
        <w:shd w:val="clear" w:color="auto" w:fill="auto"/>
        <w:spacing w:after="0"/>
        <w:jc w:val="both"/>
        <w:rPr>
          <w:rFonts w:ascii="Times New Roman" w:hAnsi="Times New Roman" w:cs="Times New Roman"/>
          <w:sz w:val="24"/>
          <w:szCs w:val="24"/>
        </w:rPr>
      </w:pPr>
    </w:p>
    <w:p w14:paraId="7D96ED13" w14:textId="77777777" w:rsidR="008C0A58" w:rsidRPr="00F4488A" w:rsidRDefault="00AD73DA" w:rsidP="00EB23D6">
      <w:pPr>
        <w:pStyle w:val="Bodytext10"/>
        <w:shd w:val="clear" w:color="auto" w:fill="auto"/>
        <w:jc w:val="both"/>
        <w:rPr>
          <w:rFonts w:ascii="Times New Roman" w:hAnsi="Times New Roman" w:cs="Times New Roman"/>
          <w:sz w:val="24"/>
          <w:szCs w:val="24"/>
        </w:rPr>
      </w:pPr>
      <w:r w:rsidRPr="00AD73DA">
        <w:rPr>
          <w:rFonts w:ascii="Times New Roman" w:hAnsi="Times New Roman" w:cs="Times New Roman"/>
          <w:sz w:val="24"/>
          <w:szCs w:val="24"/>
        </w:rPr>
        <w:t>The technical committee has reviewed the provisions of the following international standards referred in this adopted standard and decided that they are acceptable for use in conjunction with this standard.</w:t>
      </w:r>
    </w:p>
    <w:tbl>
      <w:tblPr>
        <w:tblStyle w:val="TableGrid"/>
        <w:tblW w:w="9918" w:type="dxa"/>
        <w:tblLook w:val="04A0" w:firstRow="1" w:lastRow="0" w:firstColumn="1" w:lastColumn="0" w:noHBand="0" w:noVBand="1"/>
      </w:tblPr>
      <w:tblGrid>
        <w:gridCol w:w="2405"/>
        <w:gridCol w:w="7513"/>
      </w:tblGrid>
      <w:tr w:rsidR="00AD73DA" w:rsidRPr="003900C7" w14:paraId="4F94B726" w14:textId="77777777" w:rsidTr="00FC28CF">
        <w:trPr>
          <w:trHeight w:val="374"/>
        </w:trPr>
        <w:tc>
          <w:tcPr>
            <w:tcW w:w="2405" w:type="dxa"/>
          </w:tcPr>
          <w:p w14:paraId="2211F0AF" w14:textId="77777777" w:rsidR="00AD73DA" w:rsidRPr="003900C7" w:rsidRDefault="00AD73DA" w:rsidP="00AD73DA">
            <w:pPr>
              <w:pStyle w:val="Other10"/>
              <w:shd w:val="clear" w:color="auto" w:fill="auto"/>
              <w:spacing w:line="240" w:lineRule="auto"/>
              <w:jc w:val="center"/>
              <w:rPr>
                <w:rFonts w:ascii="Times New Roman" w:hAnsi="Times New Roman" w:cs="Times New Roman"/>
                <w:sz w:val="24"/>
                <w:szCs w:val="24"/>
              </w:rPr>
            </w:pPr>
            <w:r w:rsidRPr="003900C7">
              <w:rPr>
                <w:rFonts w:ascii="Times New Roman" w:eastAsia="Times New Roman" w:hAnsi="Times New Roman" w:cs="Times New Roman"/>
                <w:b/>
                <w:bCs/>
                <w:i/>
                <w:iCs/>
                <w:color w:val="000000"/>
                <w:sz w:val="24"/>
                <w:szCs w:val="24"/>
                <w:lang w:val="en-US" w:bidi="en-US"/>
              </w:rPr>
              <w:t>International Standard</w:t>
            </w:r>
          </w:p>
        </w:tc>
        <w:tc>
          <w:tcPr>
            <w:tcW w:w="7513" w:type="dxa"/>
          </w:tcPr>
          <w:p w14:paraId="254B29F1" w14:textId="77777777" w:rsidR="00AD73DA" w:rsidRPr="003900C7" w:rsidRDefault="00AD73DA" w:rsidP="00AD73DA">
            <w:pPr>
              <w:pStyle w:val="Other10"/>
              <w:shd w:val="clear" w:color="auto" w:fill="auto"/>
              <w:spacing w:line="240" w:lineRule="auto"/>
              <w:jc w:val="center"/>
              <w:rPr>
                <w:rFonts w:ascii="Times New Roman" w:hAnsi="Times New Roman" w:cs="Times New Roman"/>
                <w:sz w:val="24"/>
                <w:szCs w:val="24"/>
              </w:rPr>
            </w:pPr>
            <w:r w:rsidRPr="003900C7">
              <w:rPr>
                <w:rFonts w:ascii="Times New Roman" w:eastAsia="Times New Roman" w:hAnsi="Times New Roman" w:cs="Times New Roman"/>
                <w:b/>
                <w:bCs/>
                <w:i/>
                <w:iCs/>
                <w:color w:val="000000"/>
                <w:sz w:val="24"/>
                <w:szCs w:val="24"/>
                <w:lang w:val="en-US" w:bidi="en-US"/>
              </w:rPr>
              <w:t>Title</w:t>
            </w:r>
          </w:p>
        </w:tc>
      </w:tr>
      <w:tr w:rsidR="00AD73DA" w:rsidRPr="003900C7" w14:paraId="1F87F4C8" w14:textId="77777777" w:rsidTr="00AD73DA">
        <w:tc>
          <w:tcPr>
            <w:tcW w:w="2405" w:type="dxa"/>
          </w:tcPr>
          <w:p w14:paraId="17431A47" w14:textId="03CD0094" w:rsidR="00AD73DA" w:rsidRPr="003900C7" w:rsidRDefault="002C4C5B" w:rsidP="00AD73DA">
            <w:pPr>
              <w:pStyle w:val="Other10"/>
              <w:shd w:val="clear" w:color="auto" w:fill="auto"/>
              <w:spacing w:line="240" w:lineRule="auto"/>
              <w:rPr>
                <w:rFonts w:ascii="Times New Roman" w:hAnsi="Times New Roman" w:cs="Times New Roman"/>
                <w:sz w:val="24"/>
                <w:szCs w:val="24"/>
              </w:rPr>
            </w:pPr>
            <w:r w:rsidRPr="002C4C5B">
              <w:rPr>
                <w:rFonts w:ascii="Times New Roman" w:hAnsi="Times New Roman" w:cs="Times New Roman"/>
                <w:sz w:val="24"/>
                <w:szCs w:val="24"/>
              </w:rPr>
              <w:t>IEC 61210:2010</w:t>
            </w:r>
          </w:p>
        </w:tc>
        <w:tc>
          <w:tcPr>
            <w:tcW w:w="7513" w:type="dxa"/>
            <w:vAlign w:val="bottom"/>
          </w:tcPr>
          <w:p w14:paraId="16FFE271" w14:textId="77777777" w:rsidR="0010135E" w:rsidRPr="0010135E" w:rsidRDefault="0010135E" w:rsidP="0010135E">
            <w:pPr>
              <w:pStyle w:val="Other10"/>
              <w:spacing w:line="262" w:lineRule="auto"/>
              <w:jc w:val="both"/>
              <w:rPr>
                <w:rFonts w:ascii="Times New Roman" w:hAnsi="Times New Roman" w:cs="Times New Roman"/>
                <w:sz w:val="24"/>
                <w:szCs w:val="24"/>
              </w:rPr>
            </w:pPr>
            <w:r w:rsidRPr="0010135E">
              <w:rPr>
                <w:rFonts w:ascii="Times New Roman" w:hAnsi="Times New Roman" w:cs="Times New Roman"/>
                <w:sz w:val="24"/>
                <w:szCs w:val="24"/>
              </w:rPr>
              <w:t>Connecting devices – Flat quick-connect terminations for electrical copper</w:t>
            </w:r>
          </w:p>
          <w:p w14:paraId="0453D7BC" w14:textId="719ECBE2" w:rsidR="00AD73DA" w:rsidRPr="003900C7" w:rsidRDefault="0010135E" w:rsidP="0010135E">
            <w:pPr>
              <w:pStyle w:val="Other10"/>
              <w:shd w:val="clear" w:color="auto" w:fill="auto"/>
              <w:spacing w:line="262" w:lineRule="auto"/>
              <w:jc w:val="both"/>
              <w:rPr>
                <w:rFonts w:ascii="Times New Roman" w:hAnsi="Times New Roman" w:cs="Times New Roman"/>
                <w:sz w:val="24"/>
                <w:szCs w:val="24"/>
              </w:rPr>
            </w:pPr>
            <w:r w:rsidRPr="0010135E">
              <w:rPr>
                <w:rFonts w:ascii="Times New Roman" w:hAnsi="Times New Roman" w:cs="Times New Roman"/>
                <w:sz w:val="24"/>
                <w:szCs w:val="24"/>
              </w:rPr>
              <w:t>conductors – Safety requirements</w:t>
            </w:r>
          </w:p>
        </w:tc>
      </w:tr>
    </w:tbl>
    <w:p w14:paraId="0A94CFCE" w14:textId="77777777" w:rsidR="00483E5F" w:rsidRPr="00534C91" w:rsidRDefault="00483E5F" w:rsidP="00483E5F">
      <w:pPr>
        <w:spacing w:after="0"/>
        <w:jc w:val="both"/>
        <w:rPr>
          <w:rFonts w:ascii="Times New Roman" w:hAnsi="Times New Roman" w:cs="Times New Roman"/>
          <w:sz w:val="24"/>
          <w:szCs w:val="24"/>
        </w:rPr>
      </w:pPr>
    </w:p>
    <w:p w14:paraId="09F4D221" w14:textId="77777777" w:rsidR="0087205E" w:rsidRDefault="00483E5F" w:rsidP="0087205E">
      <w:pPr>
        <w:spacing w:after="0"/>
        <w:jc w:val="both"/>
        <w:rPr>
          <w:rFonts w:ascii="Times New Roman" w:hAnsi="Times New Roman" w:cs="Times New Roman"/>
          <w:sz w:val="24"/>
          <w:szCs w:val="24"/>
        </w:rPr>
      </w:pPr>
      <w:r w:rsidRPr="00534C91">
        <w:rPr>
          <w:rFonts w:ascii="Times New Roman" w:hAnsi="Times New Roman" w:cs="Times New Roman"/>
          <w:sz w:val="24"/>
          <w:szCs w:val="24"/>
        </w:rPr>
        <w:t>Only English language text has been retained while adopting it in this Indian Standard, and as such the page numbers given here are not the same as in the International Standard.</w:t>
      </w:r>
    </w:p>
    <w:p w14:paraId="102DE99F" w14:textId="77777777" w:rsidR="0087205E" w:rsidRDefault="0087205E" w:rsidP="0087205E">
      <w:pPr>
        <w:spacing w:after="0"/>
        <w:jc w:val="both"/>
        <w:rPr>
          <w:rFonts w:ascii="Times New Roman" w:hAnsi="Times New Roman" w:cs="Times New Roman"/>
          <w:sz w:val="24"/>
          <w:szCs w:val="24"/>
        </w:rPr>
      </w:pPr>
    </w:p>
    <w:p w14:paraId="4C6843FD" w14:textId="3B071CE0" w:rsidR="00963A7E" w:rsidRPr="00F4488A" w:rsidRDefault="00963A7E" w:rsidP="0087205E">
      <w:pPr>
        <w:spacing w:after="0"/>
        <w:jc w:val="both"/>
        <w:rPr>
          <w:rFonts w:ascii="Times New Roman" w:hAnsi="Times New Roman" w:cs="Times New Roman"/>
          <w:sz w:val="24"/>
          <w:szCs w:val="24"/>
        </w:rPr>
      </w:pPr>
      <w:r w:rsidRPr="00963A7E">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shall be rounded off in accordance with IS </w:t>
      </w:r>
      <w:proofErr w:type="gramStart"/>
      <w:r w:rsidRPr="00963A7E">
        <w:rPr>
          <w:rFonts w:ascii="Times New Roman" w:hAnsi="Times New Roman" w:cs="Times New Roman"/>
          <w:sz w:val="24"/>
          <w:szCs w:val="24"/>
        </w:rPr>
        <w:t>2 :</w:t>
      </w:r>
      <w:proofErr w:type="gramEnd"/>
      <w:r w:rsidRPr="00963A7E">
        <w:rPr>
          <w:rFonts w:ascii="Times New Roman" w:hAnsi="Times New Roman" w:cs="Times New Roman"/>
          <w:sz w:val="24"/>
          <w:szCs w:val="24"/>
        </w:rPr>
        <w:t xml:space="preserve"> 2022 ‘Rules for rounding off numerical values (</w:t>
      </w:r>
      <w:r w:rsidR="00A16416" w:rsidRPr="00A16416">
        <w:rPr>
          <w:rFonts w:ascii="Times New Roman" w:hAnsi="Times New Roman" w:cs="Times New Roman"/>
          <w:i/>
          <w:iCs/>
          <w:sz w:val="24"/>
          <w:szCs w:val="24"/>
        </w:rPr>
        <w:t>second revision</w:t>
      </w:r>
      <w:r w:rsidRPr="00963A7E">
        <w:rPr>
          <w:rFonts w:ascii="Times New Roman" w:hAnsi="Times New Roman" w:cs="Times New Roman"/>
          <w:sz w:val="24"/>
          <w:szCs w:val="24"/>
        </w:rPr>
        <w:t>)’. The number of significant places retained in the rounded off value should be the same as that of the specified value in this standard.</w:t>
      </w:r>
    </w:p>
    <w:sectPr w:rsidR="00963A7E" w:rsidRPr="00F4488A" w:rsidSect="00AD71E9">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44630"/>
    <w:multiLevelType w:val="multilevel"/>
    <w:tmpl w:val="DF88F5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D7"/>
    <w:rsid w:val="000C6158"/>
    <w:rsid w:val="000C6DBE"/>
    <w:rsid w:val="000F37AD"/>
    <w:rsid w:val="000F5AAB"/>
    <w:rsid w:val="0010135E"/>
    <w:rsid w:val="0010729F"/>
    <w:rsid w:val="001233AB"/>
    <w:rsid w:val="00151382"/>
    <w:rsid w:val="001B2FD7"/>
    <w:rsid w:val="001C0E71"/>
    <w:rsid w:val="001F3831"/>
    <w:rsid w:val="001F63EB"/>
    <w:rsid w:val="0020446D"/>
    <w:rsid w:val="002269EA"/>
    <w:rsid w:val="002325AF"/>
    <w:rsid w:val="00244772"/>
    <w:rsid w:val="002550D4"/>
    <w:rsid w:val="00260A24"/>
    <w:rsid w:val="002A73CB"/>
    <w:rsid w:val="002B2770"/>
    <w:rsid w:val="002C4C5B"/>
    <w:rsid w:val="002C6409"/>
    <w:rsid w:val="002D58B2"/>
    <w:rsid w:val="003055BA"/>
    <w:rsid w:val="00336716"/>
    <w:rsid w:val="003451C6"/>
    <w:rsid w:val="00362559"/>
    <w:rsid w:val="00380018"/>
    <w:rsid w:val="003820A3"/>
    <w:rsid w:val="003900C7"/>
    <w:rsid w:val="003B75FB"/>
    <w:rsid w:val="00405581"/>
    <w:rsid w:val="0041434D"/>
    <w:rsid w:val="00421FE5"/>
    <w:rsid w:val="00441A32"/>
    <w:rsid w:val="004440C6"/>
    <w:rsid w:val="00474FC9"/>
    <w:rsid w:val="00475347"/>
    <w:rsid w:val="00483E5F"/>
    <w:rsid w:val="004A0377"/>
    <w:rsid w:val="004B34E1"/>
    <w:rsid w:val="004C51A8"/>
    <w:rsid w:val="004D688D"/>
    <w:rsid w:val="00507993"/>
    <w:rsid w:val="005204C4"/>
    <w:rsid w:val="0057311F"/>
    <w:rsid w:val="005926FA"/>
    <w:rsid w:val="005B591D"/>
    <w:rsid w:val="005D4CBC"/>
    <w:rsid w:val="005D652B"/>
    <w:rsid w:val="006053D9"/>
    <w:rsid w:val="006161B9"/>
    <w:rsid w:val="006174BB"/>
    <w:rsid w:val="006354CB"/>
    <w:rsid w:val="006737AE"/>
    <w:rsid w:val="0067592D"/>
    <w:rsid w:val="006A7B28"/>
    <w:rsid w:val="006C2BE7"/>
    <w:rsid w:val="006D50D6"/>
    <w:rsid w:val="006E1271"/>
    <w:rsid w:val="006E3376"/>
    <w:rsid w:val="006F44B9"/>
    <w:rsid w:val="00706CDB"/>
    <w:rsid w:val="007250C8"/>
    <w:rsid w:val="00755BE6"/>
    <w:rsid w:val="00770244"/>
    <w:rsid w:val="00771422"/>
    <w:rsid w:val="007821A0"/>
    <w:rsid w:val="00782E51"/>
    <w:rsid w:val="0079532E"/>
    <w:rsid w:val="007A19FC"/>
    <w:rsid w:val="007A68D9"/>
    <w:rsid w:val="007C724D"/>
    <w:rsid w:val="007E6F9A"/>
    <w:rsid w:val="007F13D9"/>
    <w:rsid w:val="007F37D1"/>
    <w:rsid w:val="007F4B11"/>
    <w:rsid w:val="00801335"/>
    <w:rsid w:val="00807908"/>
    <w:rsid w:val="00810B49"/>
    <w:rsid w:val="00814AA1"/>
    <w:rsid w:val="008242B6"/>
    <w:rsid w:val="00831AAF"/>
    <w:rsid w:val="00845C8C"/>
    <w:rsid w:val="0087205E"/>
    <w:rsid w:val="008773A5"/>
    <w:rsid w:val="008961F6"/>
    <w:rsid w:val="008A3817"/>
    <w:rsid w:val="008B73BD"/>
    <w:rsid w:val="008C0A58"/>
    <w:rsid w:val="008C4E30"/>
    <w:rsid w:val="008D4743"/>
    <w:rsid w:val="008D6A98"/>
    <w:rsid w:val="0092381D"/>
    <w:rsid w:val="00923B28"/>
    <w:rsid w:val="009308A6"/>
    <w:rsid w:val="00942876"/>
    <w:rsid w:val="00950338"/>
    <w:rsid w:val="00953554"/>
    <w:rsid w:val="00963A7E"/>
    <w:rsid w:val="009C2F70"/>
    <w:rsid w:val="009D104E"/>
    <w:rsid w:val="009D2C67"/>
    <w:rsid w:val="009D6C9B"/>
    <w:rsid w:val="009E29F1"/>
    <w:rsid w:val="009F51C6"/>
    <w:rsid w:val="00A16416"/>
    <w:rsid w:val="00A84720"/>
    <w:rsid w:val="00AC2184"/>
    <w:rsid w:val="00AD71E9"/>
    <w:rsid w:val="00AD73DA"/>
    <w:rsid w:val="00AD7677"/>
    <w:rsid w:val="00AF5E54"/>
    <w:rsid w:val="00BB5775"/>
    <w:rsid w:val="00C0748E"/>
    <w:rsid w:val="00C96122"/>
    <w:rsid w:val="00CE0218"/>
    <w:rsid w:val="00CE218F"/>
    <w:rsid w:val="00CE67A7"/>
    <w:rsid w:val="00D11102"/>
    <w:rsid w:val="00D23385"/>
    <w:rsid w:val="00D36DF2"/>
    <w:rsid w:val="00D67215"/>
    <w:rsid w:val="00D90090"/>
    <w:rsid w:val="00D92796"/>
    <w:rsid w:val="00D92D25"/>
    <w:rsid w:val="00DA4D5A"/>
    <w:rsid w:val="00DC5639"/>
    <w:rsid w:val="00E27811"/>
    <w:rsid w:val="00E4651C"/>
    <w:rsid w:val="00E80A8F"/>
    <w:rsid w:val="00E8599D"/>
    <w:rsid w:val="00E946A8"/>
    <w:rsid w:val="00EA4308"/>
    <w:rsid w:val="00EA5A7B"/>
    <w:rsid w:val="00EB23D6"/>
    <w:rsid w:val="00F00666"/>
    <w:rsid w:val="00F019BA"/>
    <w:rsid w:val="00F40FA9"/>
    <w:rsid w:val="00F4488A"/>
    <w:rsid w:val="00F61D8E"/>
    <w:rsid w:val="00FB5AE6"/>
    <w:rsid w:val="00FC28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8217AA"/>
  <w15:chartTrackingRefBased/>
  <w15:docId w15:val="{B8DB0E03-AE71-4CEF-9833-04F72B11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sid w:val="00EB23D6"/>
    <w:rPr>
      <w:shd w:val="clear" w:color="auto" w:fill="FFFFFF"/>
    </w:rPr>
  </w:style>
  <w:style w:type="paragraph" w:customStyle="1" w:styleId="Bodytext10">
    <w:name w:val="Body text|1"/>
    <w:basedOn w:val="Normal"/>
    <w:link w:val="Bodytext1"/>
    <w:rsid w:val="00EB23D6"/>
    <w:pPr>
      <w:widowControl w:val="0"/>
      <w:shd w:val="clear" w:color="auto" w:fill="FFFFFF"/>
      <w:spacing w:after="260" w:line="240" w:lineRule="auto"/>
    </w:pPr>
  </w:style>
  <w:style w:type="character" w:customStyle="1" w:styleId="Other1">
    <w:name w:val="Other|1_"/>
    <w:basedOn w:val="DefaultParagraphFont"/>
    <w:link w:val="Other10"/>
    <w:rsid w:val="00D90090"/>
    <w:rPr>
      <w:sz w:val="20"/>
      <w:shd w:val="clear" w:color="auto" w:fill="FFFFFF"/>
    </w:rPr>
  </w:style>
  <w:style w:type="paragraph" w:customStyle="1" w:styleId="Other10">
    <w:name w:val="Other|1"/>
    <w:basedOn w:val="Normal"/>
    <w:link w:val="Other1"/>
    <w:rsid w:val="00D90090"/>
    <w:pPr>
      <w:widowControl w:val="0"/>
      <w:shd w:val="clear" w:color="auto" w:fill="FFFFFF"/>
      <w:spacing w:after="0" w:line="264" w:lineRule="auto"/>
    </w:pPr>
    <w:rPr>
      <w:sz w:val="20"/>
    </w:rPr>
  </w:style>
  <w:style w:type="table" w:styleId="TableGrid">
    <w:name w:val="Table Grid"/>
    <w:basedOn w:val="TableNormal"/>
    <w:uiPriority w:val="39"/>
    <w:rsid w:val="00D90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242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6D50D6"/>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6D50D6"/>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D23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2</cp:revision>
  <dcterms:created xsi:type="dcterms:W3CDTF">2024-12-20T05:43:00Z</dcterms:created>
  <dcterms:modified xsi:type="dcterms:W3CDTF">2024-12-20T05:43:00Z</dcterms:modified>
</cp:coreProperties>
</file>