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bidi="hi-IN"/>
        </w:rPr>
      </w:pPr>
      <w:r>
        <w:rPr>
          <w:lang w:bidi="hi-IN"/>
        </w:rPr>
        <w:t>NATIONAL FOREWORD</w:t>
      </w:r>
    </w:p>
    <w:p>
      <w:pPr>
        <w:pStyle w:val="Normal"/>
        <w:rPr>
          <w:sz w:val="16"/>
          <w:szCs w:val="16"/>
        </w:rPr>
      </w:pPr>
      <w:r>
        <w:rPr/>
        <w:t xml:space="preserve"> </w:t>
      </w:r>
    </w:p>
    <w:p>
      <w:pPr>
        <w:pStyle w:val="Normal"/>
        <w:jc w:val="both"/>
        <w:rPr>
          <w:b/>
          <w:b/>
        </w:rPr>
      </w:pPr>
      <w:r>
        <w:rPr/>
        <w:t>This Indian Standard which is identical with IEC 60269-4:2009+Amd1:2012+Amd2:2016 ‘Low-Voltage Fuses – Part 4: Supplementary Requirements for Fuse-Links for The Protection of Semiconductor Devices’ issued by the International Electrotechnical Commission (IEC) was adopted by the Bureau of Indian Standards on the recommendation of the Fuses Sectional Committee and approval of the Electrotechnical Division Council.</w:t>
      </w:r>
    </w:p>
    <w:p>
      <w:pPr>
        <w:pStyle w:val="Normal"/>
        <w:jc w:val="both"/>
        <w:rPr>
          <w:b/>
          <w:b/>
        </w:rPr>
      </w:pPr>
      <w:r>
        <w:rPr>
          <w:b/>
        </w:rPr>
      </w:r>
    </w:p>
    <w:p>
      <w:pPr>
        <w:pStyle w:val="Normal"/>
        <w:jc w:val="both"/>
        <w:rPr>
          <w:b w:val="false"/>
          <w:b w:val="false"/>
          <w:bCs w:val="false"/>
        </w:rPr>
      </w:pPr>
      <w:r>
        <w:rPr>
          <w:b w:val="false"/>
          <w:bCs w:val="false"/>
        </w:rPr>
        <w:t xml:space="preserve">This standard was initially </w:t>
      </w:r>
      <w:r>
        <w:rPr>
          <w:b w:val="false"/>
          <w:bCs w:val="false"/>
        </w:rPr>
        <w:t xml:space="preserve">published </w:t>
      </w:r>
      <w:r>
        <w:rPr>
          <w:b w:val="false"/>
          <w:bCs w:val="false"/>
        </w:rPr>
        <w:t xml:space="preserve">as IS 13703 (Part 4):1993, was based on IEC Pub 269-4: 1980. This revision has been undertaken to align </w:t>
      </w:r>
      <w:r>
        <w:rPr>
          <w:b w:val="false"/>
          <w:bCs w:val="false"/>
        </w:rPr>
        <w:t>it</w:t>
      </w:r>
      <w:r>
        <w:rPr>
          <w:b w:val="false"/>
          <w:bCs w:val="false"/>
        </w:rPr>
        <w:t xml:space="preserve"> with the latest version of IEC.</w:t>
      </w:r>
    </w:p>
    <w:p>
      <w:pPr>
        <w:pStyle w:val="Normal"/>
        <w:jc w:val="both"/>
        <w:rPr>
          <w:b w:val="false"/>
          <w:b w:val="false"/>
          <w:bCs w:val="false"/>
        </w:rPr>
      </w:pPr>
      <w:r>
        <w:rPr>
          <w:b w:val="false"/>
          <w:bCs w:val="false"/>
        </w:rPr>
      </w:r>
    </w:p>
    <w:p>
      <w:pPr>
        <w:pStyle w:val="Normal"/>
        <w:jc w:val="both"/>
        <w:rPr/>
      </w:pPr>
      <w:r>
        <w:rPr/>
        <w:t>The text of the IEC Standard has been approved as suitable for publication as an Indian Standard without deviations. Certain conventions are, however, not identical to those used in Indian Standards.  Attention is particularly drawn to the following:</w:t>
      </w:r>
    </w:p>
    <w:p>
      <w:pPr>
        <w:pStyle w:val="Normal"/>
        <w:jc w:val="both"/>
        <w:rPr/>
      </w:pPr>
      <w:r>
        <w:rPr/>
      </w:r>
    </w:p>
    <w:p>
      <w:pPr>
        <w:pStyle w:val="Normal"/>
        <w:numPr>
          <w:ilvl w:val="0"/>
          <w:numId w:val="1"/>
        </w:numPr>
        <w:jc w:val="both"/>
        <w:rPr/>
      </w:pPr>
      <w:r>
        <w:rPr/>
        <w:t>Wherever the words ‘International Standard’ appears referring to this standard, they should be read as ‘Indian Standard’.</w:t>
      </w:r>
    </w:p>
    <w:p>
      <w:pPr>
        <w:pStyle w:val="Normal"/>
        <w:numPr>
          <w:ilvl w:val="0"/>
          <w:numId w:val="1"/>
        </w:numPr>
        <w:jc w:val="both"/>
        <w:rPr/>
      </w:pPr>
      <w:r>
        <w:rPr/>
        <w:t>Comma (,) has been used as a decimal marker, while in Indian Standards the current practice is to use a point (.) as the decimal marker.</w:t>
      </w:r>
    </w:p>
    <w:p>
      <w:pPr>
        <w:pStyle w:val="Normal"/>
        <w:jc w:val="both"/>
        <w:rPr/>
      </w:pPr>
      <w:r>
        <w:rPr/>
      </w:r>
    </w:p>
    <w:p>
      <w:pPr>
        <w:pStyle w:val="Normal"/>
        <w:jc w:val="both"/>
        <w:rPr/>
      </w:pPr>
      <w:r>
        <w:rPr/>
        <w:t xml:space="preserve">In this adopted standard, reference appears to International Standards for which Indian Standards also exists.  The corresponding Indian Standards, which are to be substituted, are listed below along with their degree of equivalence for the editions indicated: </w:t>
      </w:r>
    </w:p>
    <w:p>
      <w:pPr>
        <w:pStyle w:val="Normal"/>
        <w:jc w:val="both"/>
        <w:rPr/>
      </w:pPr>
      <w:r>
        <w:rPr/>
      </w:r>
    </w:p>
    <w:tbl>
      <w:tblPr>
        <w:tblW w:w="990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3533"/>
        <w:gridCol w:w="3595"/>
        <w:gridCol w:w="2772"/>
      </w:tblGrid>
      <w:tr>
        <w:trPr>
          <w:trHeight w:val="355" w:hRule="atLeast"/>
        </w:trPr>
        <w:tc>
          <w:tcPr>
            <w:tcW w:w="3533"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ind w:left="0" w:hanging="0"/>
              <w:jc w:val="both"/>
              <w:outlineLvl w:val="1"/>
              <w:rPr>
                <w:sz w:val="22"/>
                <w:szCs w:val="22"/>
              </w:rPr>
            </w:pPr>
            <w:r>
              <w:rPr>
                <w:b/>
                <w:bCs/>
                <w:i/>
                <w:sz w:val="22"/>
                <w:szCs w:val="22"/>
              </w:rPr>
              <w:t>International Standard</w:t>
            </w:r>
          </w:p>
        </w:tc>
        <w:tc>
          <w:tcPr>
            <w:tcW w:w="35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b/>
                <w:bCs/>
                <w:i/>
                <w:sz w:val="22"/>
                <w:szCs w:val="22"/>
              </w:rPr>
              <w:t>Corresponding Indian Standard</w:t>
            </w:r>
          </w:p>
        </w:tc>
        <w:tc>
          <w:tcPr>
            <w:tcW w:w="27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b/>
                <w:bCs/>
                <w:i/>
                <w:sz w:val="22"/>
                <w:szCs w:val="22"/>
              </w:rPr>
              <w:t>Degree of Equivalence</w:t>
            </w:r>
          </w:p>
        </w:tc>
      </w:tr>
      <w:tr>
        <w:trPr>
          <w:trHeight w:val="693" w:hRule="atLeast"/>
        </w:trPr>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IEC 60269-1, Low-voltage fuses – Part 1: General requirements</w:t>
            </w:r>
          </w:p>
        </w:tc>
        <w:tc>
          <w:tcPr>
            <w:tcW w:w="359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IS/IEC 60269-1:2014, Low-Voltage Fuses Part 1 General Requirements</w:t>
            </w:r>
          </w:p>
        </w:tc>
        <w:tc>
          <w:tcPr>
            <w:tcW w:w="27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bCs/>
                <w:color w:val="000000"/>
                <w:sz w:val="22"/>
                <w:szCs w:val="22"/>
                <w:shd w:fill="FFFFFF" w:val="clear"/>
              </w:rPr>
              <w:t>Identical with IEC 60269-1:2006+Amd1:2009+Amd2:2014</w:t>
            </w:r>
          </w:p>
        </w:tc>
      </w:tr>
      <w:tr>
        <w:trPr>
          <w:trHeight w:val="693" w:hRule="atLeast"/>
        </w:trPr>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IEC 60269-2, Low-voltage fuses – Part 2: Supplementary requirements for fuses for use by authorized persons (fuses mainly for industrial application) – Examples of standardized systems of fuses A to K</w:t>
            </w:r>
          </w:p>
        </w:tc>
        <w:tc>
          <w:tcPr>
            <w:tcW w:w="359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left"/>
              <w:rPr>
                <w:sz w:val="22"/>
                <w:szCs w:val="22"/>
              </w:rPr>
            </w:pPr>
            <w:r>
              <w:rPr>
                <w:rFonts w:ascii="Arial" w:hAnsi="Arial"/>
                <w:b w:val="false"/>
                <w:i w:val="false"/>
                <w:strike w:val="false"/>
                <w:dstrike w:val="false"/>
                <w:outline w:val="false"/>
                <w:shadow w:val="false"/>
                <w:sz w:val="20"/>
                <w:szCs w:val="22"/>
                <w:u w:val="none"/>
                <w:em w:val="none"/>
              </w:rPr>
              <w:t>IS/IEC 60269-2:2016, Low-Voltage Fuses Part 2 Supplementary Requirements for Fuses for Use by Authorized Persons (Fuses Mainly for Industrial Application) – Examples of Standardized Systems of Fuses A to K</w:t>
            </w:r>
          </w:p>
        </w:tc>
        <w:tc>
          <w:tcPr>
            <w:tcW w:w="277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bCs/>
                <w:color w:val="000000"/>
                <w:sz w:val="22"/>
                <w:szCs w:val="22"/>
                <w:shd w:fill="FFFFFF" w:val="clear"/>
              </w:rPr>
              <w:t>Identical with IEC 60269-2:2013+Amd1:2016</w:t>
            </w:r>
          </w:p>
        </w:tc>
      </w:tr>
      <w:tr>
        <w:trPr>
          <w:trHeight w:val="693" w:hRule="atLeast"/>
        </w:trPr>
        <w:tc>
          <w:tcPr>
            <w:tcW w:w="3533" w:type="dxa"/>
            <w:tcBorders>
              <w:left w:val="single" w:sz="4" w:space="0" w:color="000000"/>
              <w:bottom w:val="single" w:sz="4" w:space="0" w:color="000000"/>
              <w:right w:val="single" w:sz="4" w:space="0" w:color="000000"/>
            </w:tcBorders>
          </w:tcPr>
          <w:p>
            <w:pPr>
              <w:pStyle w:val="Normal"/>
              <w:widowControl w:val="false"/>
              <w:rPr>
                <w:sz w:val="22"/>
                <w:szCs w:val="22"/>
              </w:rPr>
            </w:pPr>
            <w:r>
              <w:rPr>
                <w:sz w:val="22"/>
                <w:szCs w:val="22"/>
              </w:rPr>
              <w:t>IEC 60269-3, Low-voltage fuses – Supplementary requirements for fuses for use by unskilled persons (fuses mainly for household and similar applications) – Examples of standardized systems of fuses A to F</w:t>
            </w:r>
          </w:p>
        </w:tc>
        <w:tc>
          <w:tcPr>
            <w:tcW w:w="3595" w:type="dxa"/>
            <w:tcBorders>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IS/IEC 60269-3 : 2010, Low-Voltage Fuses Part 3 Supplementary Requirements for Fuses for Use by Unskilled Persons ( Fuses Mainly for Household and Similar Applications )  – Examples of Standardized Systems of Fuses A to F</w:t>
            </w:r>
          </w:p>
        </w:tc>
        <w:tc>
          <w:tcPr>
            <w:tcW w:w="2772" w:type="dxa"/>
            <w:tcBorders>
              <w:left w:val="single" w:sz="4" w:space="0" w:color="000000"/>
              <w:bottom w:val="single" w:sz="4" w:space="0" w:color="000000"/>
              <w:right w:val="single" w:sz="4" w:space="0" w:color="000000"/>
            </w:tcBorders>
          </w:tcPr>
          <w:p>
            <w:pPr>
              <w:pStyle w:val="Normal"/>
              <w:widowControl w:val="false"/>
              <w:jc w:val="both"/>
              <w:rPr>
                <w:sz w:val="22"/>
                <w:szCs w:val="22"/>
              </w:rPr>
            </w:pPr>
            <w:r>
              <w:rPr>
                <w:bCs/>
                <w:color w:val="000000"/>
                <w:sz w:val="22"/>
                <w:szCs w:val="22"/>
                <w:shd w:fill="FFFFFF" w:val="clear"/>
              </w:rPr>
              <w:t>Identical with IEC 60269-3:2010+Amd1:2013</w:t>
            </w:r>
          </w:p>
        </w:tc>
      </w:tr>
      <w:tr>
        <w:trPr>
          <w:trHeight w:val="693" w:hRule="atLeast"/>
        </w:trPr>
        <w:tc>
          <w:tcPr>
            <w:tcW w:w="3533" w:type="dxa"/>
            <w:tcBorders>
              <w:left w:val="single" w:sz="4" w:space="0" w:color="000000"/>
              <w:bottom w:val="single" w:sz="4" w:space="0" w:color="000000"/>
              <w:right w:val="single" w:sz="4" w:space="0" w:color="000000"/>
            </w:tcBorders>
          </w:tcPr>
          <w:p>
            <w:pPr>
              <w:pStyle w:val="Normal"/>
              <w:widowControl w:val="false"/>
              <w:rPr>
                <w:sz w:val="22"/>
                <w:szCs w:val="22"/>
              </w:rPr>
            </w:pPr>
            <w:r>
              <w:rPr>
                <w:sz w:val="22"/>
                <w:szCs w:val="22"/>
              </w:rPr>
              <w:t>IEC TR 60269-5, Low-voltage fuses – Part 5: Guidance for the application of low-voltage fuses</w:t>
            </w:r>
          </w:p>
        </w:tc>
        <w:tc>
          <w:tcPr>
            <w:tcW w:w="3595" w:type="dxa"/>
            <w:tcBorders>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IS/IEC TR 60269-5 : 2014, Low-Voltage Fuses Part 5 Guidance for the Application of Low-Voltage Fuses</w:t>
            </w:r>
          </w:p>
        </w:tc>
        <w:tc>
          <w:tcPr>
            <w:tcW w:w="2772" w:type="dxa"/>
            <w:tcBorders>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Identical</w:t>
            </w:r>
          </w:p>
        </w:tc>
      </w:tr>
      <w:tr>
        <w:trPr>
          <w:trHeight w:val="693" w:hRule="atLeast"/>
        </w:trPr>
        <w:tc>
          <w:tcPr>
            <w:tcW w:w="3533" w:type="dxa"/>
            <w:tcBorders>
              <w:left w:val="single" w:sz="4" w:space="0" w:color="000000"/>
              <w:bottom w:val="single" w:sz="4" w:space="0" w:color="000000"/>
              <w:right w:val="single" w:sz="4" w:space="0" w:color="000000"/>
            </w:tcBorders>
          </w:tcPr>
          <w:p>
            <w:pPr>
              <w:pStyle w:val="Normal"/>
              <w:widowControl w:val="false"/>
              <w:rPr>
                <w:sz w:val="22"/>
                <w:szCs w:val="22"/>
              </w:rPr>
            </w:pPr>
            <w:r>
              <w:rPr>
                <w:sz w:val="22"/>
                <w:szCs w:val="22"/>
              </w:rPr>
              <w:t>IEC 60269-6, Low-voltage fuses – Part 6: Supplementary requirements for fuse-links for the protection of solar photovoltaic energy systems</w:t>
            </w:r>
          </w:p>
        </w:tc>
        <w:tc>
          <w:tcPr>
            <w:tcW w:w="3595" w:type="dxa"/>
            <w:tcBorders>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IS/IEC 60269-6 : 2010, Low-Voltage Fuses Part 6 Supplementary Requirements for Fuse-Links for the Protection of Solar Photovoltaic Energy Systems</w:t>
            </w:r>
          </w:p>
        </w:tc>
        <w:tc>
          <w:tcPr>
            <w:tcW w:w="2772" w:type="dxa"/>
            <w:tcBorders>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Identical</w:t>
            </w:r>
          </w:p>
        </w:tc>
      </w:tr>
      <w:tr>
        <w:trPr>
          <w:trHeight w:val="693" w:hRule="atLeast"/>
        </w:trPr>
        <w:tc>
          <w:tcPr>
            <w:tcW w:w="3533" w:type="dxa"/>
            <w:tcBorders>
              <w:left w:val="single" w:sz="4" w:space="0" w:color="000000"/>
              <w:bottom w:val="single" w:sz="4" w:space="0" w:color="000000"/>
              <w:right w:val="single" w:sz="4" w:space="0" w:color="000000"/>
            </w:tcBorders>
          </w:tcPr>
          <w:p>
            <w:pPr>
              <w:pStyle w:val="Normal"/>
              <w:widowControl w:val="false"/>
              <w:rPr>
                <w:sz w:val="22"/>
                <w:szCs w:val="22"/>
              </w:rPr>
            </w:pPr>
            <w:r>
              <w:rPr>
                <w:sz w:val="22"/>
                <w:szCs w:val="22"/>
              </w:rPr>
              <w:t>IEC 60664-1:2000, Insulation coordination for equipment within low-voltage systems – Part 1: Principles, requirements and tests</w:t>
            </w:r>
          </w:p>
        </w:tc>
        <w:tc>
          <w:tcPr>
            <w:tcW w:w="3595" w:type="dxa"/>
            <w:tcBorders>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IS 15382 (Part 1) : 2022, Insulation Coordination for Equipment Within Low-Voltage Systems Part 1 Principles Requirements and Tests</w:t>
            </w:r>
          </w:p>
        </w:tc>
        <w:tc>
          <w:tcPr>
            <w:tcW w:w="2772" w:type="dxa"/>
            <w:tcBorders>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Identical with IEC 60664-1:2020</w:t>
            </w:r>
          </w:p>
        </w:tc>
      </w:tr>
      <w:tr>
        <w:trPr>
          <w:trHeight w:val="693" w:hRule="atLeast"/>
        </w:trPr>
        <w:tc>
          <w:tcPr>
            <w:tcW w:w="3533" w:type="dxa"/>
            <w:tcBorders>
              <w:left w:val="single" w:sz="4" w:space="0" w:color="000000"/>
              <w:bottom w:val="single" w:sz="4" w:space="0" w:color="000000"/>
              <w:right w:val="single" w:sz="4" w:space="0" w:color="000000"/>
            </w:tcBorders>
          </w:tcPr>
          <w:p>
            <w:pPr>
              <w:pStyle w:val="Normal"/>
              <w:widowControl w:val="false"/>
              <w:rPr>
                <w:sz w:val="22"/>
                <w:szCs w:val="22"/>
              </w:rPr>
            </w:pPr>
            <w:r>
              <w:rPr>
                <w:sz w:val="22"/>
                <w:szCs w:val="22"/>
              </w:rPr>
              <w:t>ISO 3, Preferred numbers – Series of preferred numbers</w:t>
            </w:r>
          </w:p>
        </w:tc>
        <w:tc>
          <w:tcPr>
            <w:tcW w:w="3595" w:type="dxa"/>
            <w:tcBorders>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IS 1076 (Part 1) : 1985, Preferred numbers: Part 1 series of preferred numbers</w:t>
            </w:r>
          </w:p>
        </w:tc>
        <w:tc>
          <w:tcPr>
            <w:tcW w:w="2772" w:type="dxa"/>
            <w:tcBorders>
              <w:left w:val="single" w:sz="4" w:space="0" w:color="000000"/>
              <w:bottom w:val="single" w:sz="4" w:space="0" w:color="000000"/>
              <w:right w:val="single" w:sz="4" w:space="0" w:color="000000"/>
            </w:tcBorders>
          </w:tcPr>
          <w:p>
            <w:pPr>
              <w:pStyle w:val="Normal"/>
              <w:widowControl w:val="false"/>
              <w:jc w:val="both"/>
              <w:rPr>
                <w:sz w:val="22"/>
                <w:szCs w:val="22"/>
              </w:rPr>
            </w:pPr>
            <w:r>
              <w:rPr>
                <w:sz w:val="22"/>
                <w:szCs w:val="22"/>
              </w:rPr>
              <w:t>Identical with ISO 3:1973</w:t>
            </w:r>
          </w:p>
        </w:tc>
      </w:tr>
    </w:tbl>
    <w:p>
      <w:pPr>
        <w:pStyle w:val="Normal"/>
        <w:jc w:val="both"/>
        <w:rPr/>
      </w:pPr>
      <w:r>
        <w:rPr/>
      </w:r>
    </w:p>
    <w:p>
      <w:pPr>
        <w:pStyle w:val="Normal"/>
        <w:jc w:val="both"/>
        <w:rPr/>
      </w:pPr>
      <w:r>
        <w:rPr/>
        <w:t>The technical committee has reviewed the provisions of the following international standards referred in this adopted standard and decided that they are acceptable for use in conjunction with this standard.</w:t>
      </w:r>
    </w:p>
    <w:p>
      <w:pPr>
        <w:pStyle w:val="Normal"/>
        <w:jc w:val="both"/>
        <w:rPr/>
      </w:pPr>
      <w:r>
        <w:rPr/>
      </w:r>
    </w:p>
    <w:tbl>
      <w:tblPr>
        <w:tblW w:w="9828" w:type="dxa"/>
        <w:jc w:val="left"/>
        <w:tblInd w:w="113" w:type="dxa"/>
        <w:tblLayout w:type="fixed"/>
        <w:tblCellMar>
          <w:top w:w="0" w:type="dxa"/>
          <w:left w:w="108" w:type="dxa"/>
          <w:bottom w:w="0" w:type="dxa"/>
          <w:right w:w="108" w:type="dxa"/>
        </w:tblCellMar>
        <w:tblLook w:val="0000" w:noHBand="0" w:noVBand="0" w:firstColumn="0" w:lastRow="0" w:lastColumn="0" w:firstRow="0"/>
      </w:tblPr>
      <w:tblGrid>
        <w:gridCol w:w="2605"/>
        <w:gridCol w:w="7222"/>
      </w:tblGrid>
      <w:tr>
        <w:trPr>
          <w:trHeight w:val="360" w:hRule="atLeast"/>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rPr>
            </w:pPr>
            <w:r>
              <w:rPr>
                <w:b/>
                <w:bCs/>
                <w:i/>
                <w:iCs/>
              </w:rPr>
              <w:t>International Standard</w:t>
            </w:r>
          </w:p>
        </w:tc>
        <w:tc>
          <w:tcPr>
            <w:tcW w:w="722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rPr>
            </w:pPr>
            <w:r>
              <w:rPr>
                <w:b/>
                <w:bCs/>
                <w:i/>
              </w:rPr>
              <w:t>Title</w:t>
            </w:r>
          </w:p>
        </w:tc>
      </w:tr>
      <w:tr>
        <w:trPr>
          <w:trHeight w:val="360" w:hRule="atLeast"/>
        </w:trPr>
        <w:tc>
          <w:tcPr>
            <w:tcW w:w="2605"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IEC 60417</w:t>
            </w:r>
          </w:p>
        </w:tc>
        <w:tc>
          <w:tcPr>
            <w:tcW w:w="7222"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rPr>
            </w:pPr>
            <w:r>
              <w:rPr>
                <w:sz w:val="22"/>
                <w:szCs w:val="22"/>
              </w:rPr>
              <w:t>Graphical symbols for use on equipment</w:t>
            </w:r>
          </w:p>
        </w:tc>
      </w:tr>
    </w:tbl>
    <w:p>
      <w:pPr>
        <w:pStyle w:val="Normal"/>
        <w:jc w:val="both"/>
        <w:rPr/>
      </w:pPr>
      <w:r>
        <w:rPr/>
      </w:r>
    </w:p>
    <w:p>
      <w:pPr>
        <w:pStyle w:val="Normal"/>
        <w:jc w:val="both"/>
        <w:rPr/>
      </w:pPr>
      <w:r>
        <w:rPr/>
        <w:t>For the purpose of deciding whether a particular requirement of this standard is complied with, the final value, observed or calculated expressing the result of a test, shall be rounded off in accordance with IS 2 : 2022 ‘Rules for rounding off numerical values (</w:t>
      </w:r>
      <w:r>
        <w:rPr>
          <w:i/>
        </w:rPr>
        <w:t>Second Revision</w:t>
      </w:r>
      <w:r>
        <w:rPr/>
        <w:t>)’. The number of significant places retained in the rounded off value should be the same as that of the specified value in this standard.</w:t>
      </w:r>
    </w:p>
    <w:sectPr>
      <w:headerReference w:type="default" r:id="rId2"/>
      <w:type w:val="nextPage"/>
      <w:pgSz w:w="12240" w:h="15840"/>
      <w:pgMar w:left="1440" w:right="1080" w:gutter="0" w:header="720" w:top="990" w:footer="0" w:bottom="13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Cambria">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b/>
        <w:b/>
        <w:bCs/>
      </w:rPr>
    </w:pPr>
    <w:r>
      <w:rPr>
        <w:b/>
        <w:b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24f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5523e"/>
    <w:rPr>
      <w:rFonts w:ascii="Times New Roman" w:hAnsi="Times New Roman" w:eastAsia="Times New Roman" w:cs="Times New Roman"/>
      <w:sz w:val="24"/>
      <w:szCs w:val="24"/>
      <w:lang w:val="en-US"/>
    </w:rPr>
  </w:style>
  <w:style w:type="character" w:styleId="FooterChar" w:customStyle="1">
    <w:name w:val="Footer Char"/>
    <w:basedOn w:val="DefaultParagraphFont"/>
    <w:link w:val="Footer"/>
    <w:uiPriority w:val="99"/>
    <w:qFormat/>
    <w:rsid w:val="0015523e"/>
    <w:rPr>
      <w:rFonts w:ascii="Times New Roman" w:hAnsi="Times New Roman" w:eastAsia="Times New Roman" w:cs="Times New Roman"/>
      <w:sz w:val="24"/>
      <w:szCs w:val="24"/>
      <w:lang w:val="en-U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Pa18" w:customStyle="1">
    <w:name w:val="Pa18"/>
    <w:basedOn w:val="Normal"/>
    <w:next w:val="Normal"/>
    <w:uiPriority w:val="99"/>
    <w:qFormat/>
    <w:rsid w:val="00ed24fe"/>
    <w:pPr>
      <w:spacing w:lineRule="atLeast" w:line="361"/>
    </w:pPr>
    <w:rPr>
      <w:rFonts w:ascii="Cambria" w:hAnsi="Cambria"/>
    </w:rPr>
  </w:style>
  <w:style w:type="paragraph" w:styleId="HeaderandFooter">
    <w:name w:val="Header and Footer"/>
    <w:basedOn w:val="Normal"/>
    <w:qFormat/>
    <w:pPr/>
    <w:rPr/>
  </w:style>
  <w:style w:type="paragraph" w:styleId="Header">
    <w:name w:val="Header"/>
    <w:basedOn w:val="Normal"/>
    <w:link w:val="HeaderChar"/>
    <w:uiPriority w:val="99"/>
    <w:unhideWhenUsed/>
    <w:rsid w:val="0015523e"/>
    <w:pPr>
      <w:tabs>
        <w:tab w:val="clear" w:pos="720"/>
        <w:tab w:val="center" w:pos="4680" w:leader="none"/>
        <w:tab w:val="right" w:pos="9360" w:leader="none"/>
      </w:tabs>
    </w:pPr>
    <w:rPr/>
  </w:style>
  <w:style w:type="paragraph" w:styleId="Footer">
    <w:name w:val="Footer"/>
    <w:basedOn w:val="Normal"/>
    <w:link w:val="FooterChar"/>
    <w:uiPriority w:val="99"/>
    <w:unhideWhenUsed/>
    <w:rsid w:val="0015523e"/>
    <w:pPr>
      <w:tabs>
        <w:tab w:val="clear" w:pos="720"/>
        <w:tab w:val="center" w:pos="4680" w:leader="none"/>
        <w:tab w:val="right" w:pos="9360"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Application>LibreOffice/7.3.2.2$Linux_X86_64 LibreOffice_project/30$Build-2</Application>
  <AppVersion>15.0000</AppVersion>
  <Pages>2</Pages>
  <Words>609</Words>
  <Characters>3591</Characters>
  <CharactersWithSpaces>4178</CharactersWithSpaces>
  <Paragraphs>38</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2023-05-18T09:22:00Z</dcterms:created>
  <dc:creator>HP</dc:creator>
  <dc:description/>
  <dc:language>en-US</dc:language>
  <cp:lastModifiedBy/>
  <dcterms:modified xsi:type="dcterms:W3CDTF">2023-12-28T18:11:14Z</dcterms:modified>
  <cp:revision>147</cp:revision>
  <dc:subject/>
  <dc:title/>
</cp:coreProperties>
</file>

<file path=docProps/custom.xml><?xml version="1.0" encoding="utf-8"?>
<Properties xmlns="http://schemas.openxmlformats.org/officeDocument/2006/custom-properties" xmlns:vt="http://schemas.openxmlformats.org/officeDocument/2006/docPropsVTypes"/>
</file>