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3B31" w14:textId="77777777" w:rsidR="00270C4A" w:rsidRDefault="00355B47" w:rsidP="00A93E76">
      <w:pPr>
        <w:autoSpaceDE w:val="0"/>
        <w:autoSpaceDN w:val="0"/>
        <w:adjustRightInd w:val="0"/>
        <w:spacing w:before="120" w:after="120" w:line="240" w:lineRule="auto"/>
        <w:ind w:left="2880"/>
        <w:jc w:val="both"/>
        <w:rPr>
          <w:rFonts w:ascii="Arial" w:eastAsia="Times New Roman" w:hAnsi="Arial" w:cs="Arial"/>
          <w:b/>
          <w:color w:val="000000"/>
          <w:sz w:val="24"/>
          <w:szCs w:val="24"/>
          <w:lang w:val="fr-FR"/>
        </w:rPr>
      </w:pPr>
      <w:r>
        <w:rPr>
          <w:rFonts w:ascii="Arial" w:hAnsi="Arial" w:cs="Arial"/>
          <w:b/>
          <w:bCs/>
          <w:iCs/>
          <w:noProof/>
          <w:sz w:val="28"/>
          <w:szCs w:val="28"/>
          <w:lang w:bidi="hi-IN"/>
        </w:rPr>
        <w:pict w14:anchorId="429C3B9C">
          <v:shapetype id="_x0000_t202" coordsize="21600,21600" o:spt="202" path="m,l,21600r21600,l21600,xe">
            <v:stroke joinstyle="miter"/>
            <v:path gradientshapeok="t" o:connecttype="rect"/>
          </v:shapetype>
          <v:shape id="Text Box 20" o:spid="_x0000_s1026" type="#_x0000_t202" style="position:absolute;left:0;text-align:left;margin-left:130.3pt;margin-top:-3.75pt;width:123pt;height:5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style="mso-next-textbox:#Text Box 20">
              <w:txbxContent>
                <w:p w14:paraId="429C3BA4"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29C3BA5"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429C3BA6" w14:textId="77777777" w:rsidR="00270C4A" w:rsidRPr="00C536D7" w:rsidRDefault="00270C4A" w:rsidP="00270C4A">
                  <w:pPr>
                    <w:spacing w:after="0"/>
                    <w:rPr>
                      <w:b/>
                      <w:i/>
                    </w:rPr>
                  </w:pPr>
                </w:p>
              </w:txbxContent>
            </v:textbox>
          </v:shape>
        </w:pict>
      </w:r>
      <w:r w:rsidR="00A93E76">
        <w:rPr>
          <w:rFonts w:ascii="Arial" w:eastAsia="Times New Roman" w:hAnsi="Arial" w:cs="Arial"/>
          <w:b/>
          <w:color w:val="000000"/>
          <w:sz w:val="24"/>
          <w:szCs w:val="24"/>
          <w:lang w:val="fr-FR"/>
        </w:rPr>
        <w:t xml:space="preserve">                                         IS </w:t>
      </w:r>
      <w:r w:rsidR="00A93E76" w:rsidRPr="00A93E76">
        <w:rPr>
          <w:rFonts w:ascii="Arial" w:eastAsia="Times New Roman" w:hAnsi="Arial" w:cs="Arial"/>
          <w:b/>
          <w:color w:val="000000"/>
          <w:sz w:val="24"/>
          <w:szCs w:val="24"/>
          <w:lang w:val="fr-FR"/>
        </w:rPr>
        <w:t>16539</w:t>
      </w:r>
      <w:r w:rsidR="00A93E76">
        <w:rPr>
          <w:i/>
          <w:iCs/>
        </w:rPr>
        <w:t xml:space="preserve"> </w:t>
      </w:r>
      <w:r w:rsidR="00270C4A">
        <w:rPr>
          <w:rFonts w:ascii="Arial" w:eastAsia="Times New Roman" w:hAnsi="Arial" w:cs="Arial"/>
          <w:b/>
          <w:color w:val="000000"/>
          <w:sz w:val="24"/>
          <w:szCs w:val="24"/>
          <w:lang w:val="fr-FR"/>
        </w:rPr>
        <w:t xml:space="preserve">(Part </w:t>
      </w:r>
      <w:r w:rsidR="00340C1C">
        <w:rPr>
          <w:rFonts w:ascii="Arial" w:eastAsia="Times New Roman" w:hAnsi="Arial" w:cs="Arial"/>
          <w:b/>
          <w:color w:val="000000"/>
          <w:sz w:val="24"/>
          <w:szCs w:val="24"/>
          <w:lang w:val="fr-FR"/>
        </w:rPr>
        <w:t>1</w:t>
      </w:r>
      <w:r w:rsidR="00A93E76">
        <w:rPr>
          <w:rFonts w:ascii="Arial" w:eastAsia="Times New Roman" w:hAnsi="Arial" w:cs="Arial"/>
          <w:b/>
          <w:color w:val="000000"/>
          <w:sz w:val="24"/>
          <w:szCs w:val="24"/>
          <w:lang w:val="fr-FR"/>
        </w:rPr>
        <w:t>/ Sec 1</w:t>
      </w:r>
      <w:r w:rsidR="00270C4A">
        <w:rPr>
          <w:rFonts w:ascii="Arial" w:eastAsia="Times New Roman" w:hAnsi="Arial" w:cs="Arial"/>
          <w:b/>
          <w:color w:val="000000"/>
          <w:sz w:val="24"/>
          <w:szCs w:val="24"/>
          <w:lang w:val="fr-FR"/>
        </w:rPr>
        <w:t>) : 202</w:t>
      </w:r>
      <w:r w:rsidR="00340C1C">
        <w:rPr>
          <w:rFonts w:ascii="Arial" w:eastAsia="Times New Roman" w:hAnsi="Arial" w:cs="Arial"/>
          <w:b/>
          <w:color w:val="000000"/>
          <w:sz w:val="24"/>
          <w:szCs w:val="24"/>
          <w:lang w:val="fr-FR"/>
        </w:rPr>
        <w:t>4</w:t>
      </w:r>
    </w:p>
    <w:p w14:paraId="429C3B32" w14:textId="77777777" w:rsidR="00270C4A" w:rsidRPr="00C7624E" w:rsidRDefault="00C7624E" w:rsidP="00C7624E">
      <w:pPr>
        <w:autoSpaceDE w:val="0"/>
        <w:autoSpaceDN w:val="0"/>
        <w:adjustRightInd w:val="0"/>
        <w:spacing w:before="120" w:after="120" w:line="240" w:lineRule="auto"/>
        <w:ind w:left="2880" w:firstLine="3514"/>
        <w:jc w:val="both"/>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7624E">
        <w:rPr>
          <w:rFonts w:ascii="Arial" w:eastAsia="Times New Roman" w:hAnsi="Arial" w:cs="Arial"/>
          <w:b/>
          <w:color w:val="000000"/>
          <w:sz w:val="24"/>
          <w:szCs w:val="24"/>
          <w:lang w:val="fr-FR"/>
        </w:rPr>
        <w:t xml:space="preserve">IEC 60146-1-1: </w:t>
      </w:r>
      <w:r>
        <w:rPr>
          <w:rFonts w:ascii="Arial" w:eastAsia="Times New Roman" w:hAnsi="Arial" w:cs="Arial"/>
          <w:b/>
          <w:color w:val="000000"/>
          <w:sz w:val="24"/>
          <w:szCs w:val="24"/>
          <w:lang w:val="fr-FR"/>
        </w:rPr>
        <w:t>2024</w:t>
      </w:r>
      <w:r w:rsidR="00A27F6F" w:rsidRPr="00C7624E">
        <w:rPr>
          <w:rFonts w:ascii="Arial" w:eastAsia="Times New Roman" w:hAnsi="Arial" w:cs="Arial"/>
          <w:b/>
          <w:color w:val="000000"/>
          <w:sz w:val="24"/>
          <w:szCs w:val="24"/>
          <w:lang w:val="fr-FR"/>
        </w:rPr>
        <w:t xml:space="preserve">               </w:t>
      </w:r>
    </w:p>
    <w:p w14:paraId="429C3B33" w14:textId="77777777" w:rsidR="00270C4A" w:rsidRPr="00CF4653" w:rsidRDefault="00355B47" w:rsidP="00B103A9">
      <w:pPr>
        <w:spacing w:after="0" w:line="240" w:lineRule="auto"/>
        <w:ind w:left="2880" w:hanging="180"/>
        <w:jc w:val="right"/>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429C3B9E">
          <v:group id="Group 8" o:spid="_x0000_s1035" style="width:317.35pt;height:5pt;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w:r>
    </w:p>
    <w:p w14:paraId="429C3B34" w14:textId="77777777" w:rsidR="00270C4A" w:rsidRPr="00032A06" w:rsidRDefault="00270C4A" w:rsidP="00032A06">
      <w:pPr>
        <w:widowControl w:val="0"/>
        <w:tabs>
          <w:tab w:val="left" w:pos="426"/>
        </w:tabs>
        <w:autoSpaceDE w:val="0"/>
        <w:autoSpaceDN w:val="0"/>
        <w:adjustRightInd w:val="0"/>
        <w:spacing w:after="0" w:line="240" w:lineRule="auto"/>
        <w:rPr>
          <w:rFonts w:ascii="Adobe Devanagari" w:eastAsia="Times New Roman" w:hAnsi="Adobe Devanagari" w:cs="Adobe Devanagari"/>
          <w:iCs/>
          <w:color w:val="222222"/>
          <w:sz w:val="24"/>
          <w:szCs w:val="24"/>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429C3B35" w14:textId="77777777" w:rsidR="00D92A17" w:rsidRDefault="001E7562" w:rsidP="00032A06">
      <w:pPr>
        <w:widowControl w:val="0"/>
        <w:tabs>
          <w:tab w:val="left" w:pos="426"/>
        </w:tabs>
        <w:autoSpaceDE w:val="0"/>
        <w:autoSpaceDN w:val="0"/>
        <w:adjustRightInd w:val="0"/>
        <w:spacing w:after="0" w:line="240" w:lineRule="auto"/>
        <w:ind w:left="2700"/>
        <w:jc w:val="center"/>
        <w:rPr>
          <w:rFonts w:ascii="Kokila" w:eastAsia="Times New Roman" w:hAnsi="Kokila" w:cs="Kokila"/>
          <w:b/>
          <w:bCs/>
          <w:i/>
          <w:color w:val="222222"/>
          <w:sz w:val="52"/>
          <w:szCs w:val="52"/>
          <w:lang w:bidi="hi-IN"/>
        </w:rPr>
      </w:pPr>
      <w:r w:rsidRPr="001E7562">
        <w:rPr>
          <w:rFonts w:ascii="Kokila" w:eastAsia="Times New Roman" w:hAnsi="Kokila" w:cs="Kokila"/>
          <w:b/>
          <w:bCs/>
          <w:i/>
          <w:color w:val="222222"/>
          <w:sz w:val="52"/>
          <w:szCs w:val="52"/>
          <w:cs/>
          <w:lang w:bidi="hi-IN"/>
        </w:rPr>
        <w:t>से</w:t>
      </w:r>
      <w:r>
        <w:rPr>
          <w:rFonts w:ascii="Kokila" w:eastAsia="Times New Roman" w:hAnsi="Kokila" w:cs="Kokila"/>
          <w:b/>
          <w:bCs/>
          <w:i/>
          <w:color w:val="222222"/>
          <w:sz w:val="52"/>
          <w:szCs w:val="52"/>
          <w:cs/>
          <w:lang w:bidi="hi-IN"/>
        </w:rPr>
        <w:t>मीकंडक्टर कन्वर्टर</w:t>
      </w:r>
    </w:p>
    <w:p w14:paraId="429C3B36" w14:textId="77777777" w:rsidR="00D92A17" w:rsidRDefault="001E7562" w:rsidP="005C216F">
      <w:pPr>
        <w:widowControl w:val="0"/>
        <w:tabs>
          <w:tab w:val="left" w:pos="426"/>
        </w:tabs>
        <w:autoSpaceDE w:val="0"/>
        <w:autoSpaceDN w:val="0"/>
        <w:adjustRightInd w:val="0"/>
        <w:spacing w:before="120" w:after="120" w:line="240" w:lineRule="auto"/>
        <w:ind w:left="2700" w:hanging="180"/>
        <w:jc w:val="center"/>
        <w:rPr>
          <w:rFonts w:ascii="Kokila" w:eastAsia="Times New Roman" w:hAnsi="Kokila" w:cs="Kokila"/>
          <w:b/>
          <w:bCs/>
          <w:i/>
          <w:color w:val="222222"/>
          <w:sz w:val="44"/>
          <w:szCs w:val="44"/>
          <w:lang w:bidi="hi-IN"/>
        </w:rPr>
      </w:pPr>
      <w:r w:rsidRPr="001E7562">
        <w:rPr>
          <w:rFonts w:ascii="Kokila" w:eastAsia="Times New Roman" w:hAnsi="Kokila" w:cs="Kokila"/>
          <w:b/>
          <w:bCs/>
          <w:i/>
          <w:color w:val="222222"/>
          <w:sz w:val="44"/>
          <w:szCs w:val="44"/>
          <w:cs/>
          <w:lang w:bidi="hi-IN"/>
        </w:rPr>
        <w:t xml:space="preserve">भाग 1 सामान्य </w:t>
      </w:r>
      <w:r w:rsidR="005C216F">
        <w:rPr>
          <w:rFonts w:ascii="Kokila" w:eastAsia="Times New Roman" w:hAnsi="Kokila" w:cs="Kokila"/>
          <w:b/>
          <w:bCs/>
          <w:i/>
          <w:color w:val="222222"/>
          <w:sz w:val="44"/>
          <w:szCs w:val="44"/>
          <w:cs/>
          <w:lang w:bidi="hi-IN"/>
        </w:rPr>
        <w:t xml:space="preserve">अपेक्षाएँ और लाइन </w:t>
      </w:r>
      <w:r w:rsidR="00D14449" w:rsidRPr="00D14449">
        <w:rPr>
          <w:rFonts w:ascii="Kokila" w:eastAsia="Times New Roman" w:hAnsi="Kokila" w:cs="Kokila"/>
          <w:b/>
          <w:bCs/>
          <w:i/>
          <w:color w:val="222222"/>
          <w:sz w:val="44"/>
          <w:szCs w:val="44"/>
          <w:cs/>
          <w:lang w:bidi="hi-IN"/>
        </w:rPr>
        <w:t>कम्यूटेटिड</w:t>
      </w:r>
      <w:r w:rsidR="005C216F">
        <w:rPr>
          <w:rFonts w:ascii="Kokila" w:eastAsia="Times New Roman" w:hAnsi="Kokila" w:cs="Kokila"/>
          <w:b/>
          <w:bCs/>
          <w:i/>
          <w:color w:val="222222"/>
          <w:sz w:val="44"/>
          <w:szCs w:val="44"/>
          <w:cs/>
          <w:lang w:bidi="hi-IN"/>
        </w:rPr>
        <w:t xml:space="preserve"> कन्वर्टर</w:t>
      </w:r>
    </w:p>
    <w:p w14:paraId="429C3B37" w14:textId="77777777" w:rsidR="005C216F" w:rsidRPr="005C216F" w:rsidRDefault="005C216F" w:rsidP="005C216F">
      <w:pPr>
        <w:widowControl w:val="0"/>
        <w:tabs>
          <w:tab w:val="left" w:pos="426"/>
        </w:tabs>
        <w:autoSpaceDE w:val="0"/>
        <w:autoSpaceDN w:val="0"/>
        <w:adjustRightInd w:val="0"/>
        <w:spacing w:before="120" w:after="120" w:line="240" w:lineRule="auto"/>
        <w:ind w:left="2700"/>
        <w:jc w:val="center"/>
        <w:rPr>
          <w:rFonts w:ascii="Kokila" w:eastAsia="Times New Roman" w:hAnsi="Kokila" w:cs="Kokila"/>
          <w:b/>
          <w:bCs/>
          <w:i/>
          <w:color w:val="222222"/>
          <w:sz w:val="40"/>
          <w:szCs w:val="40"/>
          <w:lang w:bidi="hi-IN"/>
        </w:rPr>
      </w:pPr>
      <w:r w:rsidRPr="005C216F">
        <w:rPr>
          <w:rFonts w:ascii="Kokila" w:eastAsia="Times New Roman" w:hAnsi="Kokila" w:cs="Kokila"/>
          <w:b/>
          <w:bCs/>
          <w:i/>
          <w:color w:val="222222"/>
          <w:sz w:val="40"/>
          <w:szCs w:val="40"/>
          <w:cs/>
          <w:lang w:bidi="hi-IN"/>
        </w:rPr>
        <w:t xml:space="preserve">अनुभाग </w:t>
      </w:r>
      <w:r w:rsidRPr="005C216F">
        <w:rPr>
          <w:rFonts w:ascii="Kokila" w:eastAsia="Times New Roman" w:hAnsi="Kokila" w:cs="Kokila"/>
          <w:b/>
          <w:bCs/>
          <w:iCs/>
          <w:color w:val="222222"/>
          <w:sz w:val="40"/>
          <w:szCs w:val="40"/>
          <w:lang w:bidi="hi-IN"/>
        </w:rPr>
        <w:t>1</w:t>
      </w:r>
      <w:r w:rsidRPr="005C216F">
        <w:rPr>
          <w:rFonts w:ascii="Kokila" w:eastAsia="Times New Roman" w:hAnsi="Kokila" w:cs="Kokila"/>
          <w:b/>
          <w:bCs/>
          <w:i/>
          <w:color w:val="222222"/>
          <w:sz w:val="40"/>
          <w:szCs w:val="40"/>
          <w:cs/>
          <w:lang w:bidi="hi-IN"/>
        </w:rPr>
        <w:t xml:space="preserve"> आधारभूत अपेक्षाओं की विशिष्टि</w:t>
      </w:r>
    </w:p>
    <w:p w14:paraId="429C3B38" w14:textId="77777777" w:rsidR="00270C4A" w:rsidRPr="00F8060D" w:rsidRDefault="00270C4A" w:rsidP="00A70ECA">
      <w:pPr>
        <w:widowControl w:val="0"/>
        <w:tabs>
          <w:tab w:val="left" w:pos="426"/>
        </w:tabs>
        <w:autoSpaceDE w:val="0"/>
        <w:autoSpaceDN w:val="0"/>
        <w:adjustRightInd w:val="0"/>
        <w:spacing w:after="0" w:line="240" w:lineRule="auto"/>
        <w:ind w:left="2880"/>
        <w:jc w:val="center"/>
        <w:rPr>
          <w:rFonts w:ascii="Kokila" w:eastAsia="Times New Roman" w:hAnsi="Kokila" w:cs="Kokila"/>
          <w:iCs/>
          <w:color w:val="222222"/>
          <w:sz w:val="40"/>
          <w:szCs w:val="40"/>
          <w:lang w:bidi="hi-IN"/>
        </w:rPr>
      </w:pPr>
      <w:r w:rsidRPr="00F8060D">
        <w:rPr>
          <w:rFonts w:ascii="Kokila" w:eastAsia="Times New Roman" w:hAnsi="Kokila" w:cs="Kokila"/>
          <w:b/>
          <w:bCs/>
          <w:i/>
          <w:color w:val="222222"/>
          <w:sz w:val="40"/>
          <w:szCs w:val="40"/>
          <w:lang w:bidi="hi-IN"/>
        </w:rPr>
        <w:t>(</w:t>
      </w:r>
      <w:r w:rsidRPr="00F8060D">
        <w:rPr>
          <w:rFonts w:ascii="Kokila" w:eastAsia="Times New Roman" w:hAnsi="Kokila" w:cs="Kokila"/>
          <w:i/>
          <w:color w:val="222222"/>
          <w:sz w:val="40"/>
          <w:szCs w:val="40"/>
          <w:lang w:bidi="hi-IN"/>
        </w:rPr>
        <w:t xml:space="preserve"> </w:t>
      </w:r>
      <w:r w:rsidRPr="00F8060D">
        <w:rPr>
          <w:rFonts w:ascii="Kokila" w:eastAsia="Times New Roman" w:hAnsi="Kokila" w:cs="Kokila"/>
          <w:iCs/>
          <w:color w:val="222222"/>
          <w:sz w:val="40"/>
          <w:szCs w:val="40"/>
          <w:cs/>
          <w:lang w:bidi="hi-IN"/>
        </w:rPr>
        <w:t>पहला पुनरीक्षण )</w:t>
      </w:r>
    </w:p>
    <w:p w14:paraId="429C3B39" w14:textId="77777777" w:rsidR="00032A06" w:rsidRDefault="00032A06" w:rsidP="00A70ECA">
      <w:pPr>
        <w:pStyle w:val="PlainText"/>
        <w:spacing w:line="276" w:lineRule="auto"/>
        <w:jc w:val="center"/>
        <w:rPr>
          <w:rFonts w:ascii="Arial" w:hAnsi="Arial" w:cs="Arial"/>
          <w:b/>
          <w:bCs/>
          <w:iCs/>
          <w:sz w:val="36"/>
          <w:szCs w:val="36"/>
        </w:rPr>
      </w:pPr>
    </w:p>
    <w:p w14:paraId="429C3B3A" w14:textId="77777777" w:rsidR="001E7562" w:rsidRDefault="00B33815" w:rsidP="00A70ECA">
      <w:pPr>
        <w:pStyle w:val="PlainText"/>
        <w:spacing w:line="276" w:lineRule="auto"/>
        <w:jc w:val="center"/>
        <w:rPr>
          <w:rFonts w:ascii="Arial" w:hAnsi="Arial" w:cs="Arial"/>
          <w:b/>
          <w:bCs/>
          <w:iCs/>
          <w:sz w:val="36"/>
          <w:szCs w:val="36"/>
        </w:rPr>
      </w:pPr>
      <w:r>
        <w:rPr>
          <w:rFonts w:ascii="Arial" w:hAnsi="Arial" w:cs="Arial"/>
          <w:b/>
          <w:bCs/>
          <w:iCs/>
          <w:sz w:val="36"/>
          <w:szCs w:val="36"/>
        </w:rPr>
        <w:t xml:space="preserve">                          </w:t>
      </w:r>
      <w:r w:rsidR="001E7562" w:rsidRPr="001E7562">
        <w:rPr>
          <w:rFonts w:ascii="Arial" w:hAnsi="Arial" w:cs="Arial"/>
          <w:b/>
          <w:bCs/>
          <w:iCs/>
          <w:sz w:val="36"/>
          <w:szCs w:val="36"/>
        </w:rPr>
        <w:t>Semiconductor Converters</w:t>
      </w:r>
    </w:p>
    <w:p w14:paraId="429C3B3B" w14:textId="77777777" w:rsidR="001E7562" w:rsidRDefault="001E7562" w:rsidP="005C216F">
      <w:pPr>
        <w:pStyle w:val="PlainText"/>
        <w:spacing w:before="120" w:after="120" w:line="276" w:lineRule="auto"/>
        <w:ind w:left="2880"/>
        <w:jc w:val="center"/>
        <w:rPr>
          <w:rFonts w:ascii="Arial" w:hAnsi="Arial" w:cs="Arial"/>
          <w:b/>
          <w:bCs/>
          <w:iCs/>
          <w:sz w:val="32"/>
          <w:szCs w:val="32"/>
        </w:rPr>
      </w:pPr>
      <w:r w:rsidRPr="001E7562">
        <w:rPr>
          <w:rFonts w:ascii="Arial" w:hAnsi="Arial" w:cs="Arial"/>
          <w:b/>
          <w:bCs/>
          <w:iCs/>
          <w:sz w:val="32"/>
          <w:szCs w:val="32"/>
        </w:rPr>
        <w:t>Part 1 General Requirements and Line Commutated Converters</w:t>
      </w:r>
    </w:p>
    <w:p w14:paraId="429C3B3C" w14:textId="77777777" w:rsidR="001E7562" w:rsidRPr="001E7562" w:rsidRDefault="005C216F" w:rsidP="00B33815">
      <w:pPr>
        <w:pStyle w:val="PlainText"/>
        <w:spacing w:before="120" w:after="120" w:line="276" w:lineRule="auto"/>
        <w:jc w:val="center"/>
        <w:rPr>
          <w:rFonts w:ascii="Arial" w:hAnsi="Arial" w:cs="Arial"/>
          <w:b/>
          <w:bCs/>
          <w:iCs/>
          <w:sz w:val="28"/>
          <w:szCs w:val="28"/>
        </w:rPr>
      </w:pPr>
      <w:r>
        <w:rPr>
          <w:rFonts w:ascii="Arial" w:hAnsi="Arial" w:cs="Arial"/>
          <w:b/>
          <w:bCs/>
          <w:iCs/>
          <w:sz w:val="32"/>
          <w:szCs w:val="32"/>
        </w:rPr>
        <w:t xml:space="preserve">                                </w:t>
      </w:r>
      <w:r w:rsidR="001E7562" w:rsidRPr="001E7562">
        <w:rPr>
          <w:rFonts w:ascii="Arial" w:hAnsi="Arial" w:cs="Arial"/>
          <w:b/>
          <w:bCs/>
          <w:iCs/>
          <w:sz w:val="28"/>
          <w:szCs w:val="28"/>
        </w:rPr>
        <w:t>Section 1</w:t>
      </w:r>
      <w:r w:rsidR="007A7DAE">
        <w:rPr>
          <w:rFonts w:ascii="Arial" w:hAnsi="Arial" w:cs="Arial"/>
          <w:b/>
          <w:bCs/>
          <w:iCs/>
          <w:sz w:val="28"/>
          <w:szCs w:val="28"/>
        </w:rPr>
        <w:t xml:space="preserve"> Specification of </w:t>
      </w:r>
      <w:r w:rsidRPr="001E7562">
        <w:rPr>
          <w:rFonts w:ascii="Arial" w:hAnsi="Arial" w:cs="Arial"/>
          <w:b/>
          <w:bCs/>
          <w:iCs/>
          <w:sz w:val="28"/>
          <w:szCs w:val="28"/>
        </w:rPr>
        <w:t>Basic Requirements</w:t>
      </w:r>
    </w:p>
    <w:p w14:paraId="429C3B3D" w14:textId="77777777" w:rsidR="00270C4A" w:rsidRPr="004D2B35" w:rsidRDefault="00270C4A" w:rsidP="005C216F">
      <w:pPr>
        <w:pStyle w:val="PlainText"/>
        <w:spacing w:before="120" w:after="120" w:line="276" w:lineRule="auto"/>
        <w:ind w:left="288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429C3B3E" w14:textId="77777777" w:rsidR="004306D1" w:rsidRDefault="004306D1" w:rsidP="005C216F">
      <w:pPr>
        <w:pStyle w:val="PlainText"/>
        <w:jc w:val="center"/>
        <w:rPr>
          <w:rFonts w:ascii="Arial" w:eastAsia="PMingLiU" w:hAnsi="Arial" w:cs="Arial"/>
          <w:sz w:val="24"/>
          <w:szCs w:val="24"/>
          <w:lang w:eastAsia="zh-TW"/>
        </w:rPr>
      </w:pPr>
    </w:p>
    <w:p w14:paraId="429C3B3F" w14:textId="77777777" w:rsidR="00270C4A" w:rsidRPr="004E2754" w:rsidRDefault="00F8060D" w:rsidP="005C216F">
      <w:pPr>
        <w:pStyle w:val="PlainText"/>
        <w:tabs>
          <w:tab w:val="left" w:pos="2880"/>
        </w:tabs>
        <w:ind w:left="2880"/>
        <w:jc w:val="center"/>
        <w:rPr>
          <w:rFonts w:ascii="Arial" w:eastAsia="PMingLiU" w:hAnsi="Arial" w:cs="Arial"/>
          <w:bCs/>
          <w:sz w:val="24"/>
          <w:szCs w:val="24"/>
          <w:lang w:eastAsia="zh-TW"/>
        </w:rPr>
      </w:pPr>
      <w:r w:rsidRPr="00F8060D">
        <w:rPr>
          <w:rFonts w:ascii="Arial" w:eastAsia="PMingLiU" w:hAnsi="Arial" w:cs="Arial"/>
          <w:bCs/>
          <w:sz w:val="24"/>
          <w:szCs w:val="24"/>
          <w:lang w:eastAsia="zh-TW"/>
        </w:rPr>
        <w:t>ICS 29.200, 29.045</w:t>
      </w:r>
    </w:p>
    <w:p w14:paraId="429C3B40" w14:textId="77777777" w:rsidR="00340C1C" w:rsidRDefault="00340C1C" w:rsidP="005C216F">
      <w:pPr>
        <w:spacing w:after="0" w:line="240" w:lineRule="auto"/>
        <w:ind w:left="2880"/>
        <w:jc w:val="center"/>
        <w:rPr>
          <w:rFonts w:ascii="Arial" w:hAnsi="Arial" w:cs="Arial"/>
          <w:sz w:val="24"/>
          <w:szCs w:val="24"/>
        </w:rPr>
      </w:pPr>
    </w:p>
    <w:p w14:paraId="429C3B41" w14:textId="77777777" w:rsidR="00340C1C" w:rsidRDefault="00340C1C" w:rsidP="005C216F">
      <w:pPr>
        <w:spacing w:after="0" w:line="240" w:lineRule="auto"/>
        <w:ind w:left="2880"/>
        <w:jc w:val="center"/>
        <w:rPr>
          <w:rFonts w:ascii="Arial" w:hAnsi="Arial" w:cs="Arial"/>
          <w:sz w:val="24"/>
          <w:szCs w:val="24"/>
        </w:rPr>
      </w:pPr>
    </w:p>
    <w:p w14:paraId="429C3B42" w14:textId="77777777" w:rsidR="00340C1C" w:rsidRDefault="00340C1C" w:rsidP="007C0ADA">
      <w:pPr>
        <w:spacing w:after="0" w:line="240" w:lineRule="auto"/>
        <w:ind w:left="2880"/>
        <w:jc w:val="center"/>
        <w:rPr>
          <w:rFonts w:ascii="Arial" w:hAnsi="Arial" w:cs="Arial"/>
          <w:sz w:val="24"/>
          <w:szCs w:val="24"/>
        </w:rPr>
      </w:pPr>
    </w:p>
    <w:p w14:paraId="429C3B43" w14:textId="77777777" w:rsidR="00340C1C" w:rsidRDefault="00340C1C" w:rsidP="007C0ADA">
      <w:pPr>
        <w:spacing w:after="0" w:line="240" w:lineRule="auto"/>
        <w:ind w:left="2880"/>
        <w:jc w:val="center"/>
        <w:rPr>
          <w:rFonts w:ascii="Arial" w:hAnsi="Arial" w:cs="Arial"/>
          <w:sz w:val="24"/>
          <w:szCs w:val="24"/>
        </w:rPr>
      </w:pPr>
    </w:p>
    <w:p w14:paraId="429C3B44" w14:textId="77777777" w:rsidR="00340C1C" w:rsidRDefault="00340C1C" w:rsidP="00783463">
      <w:pPr>
        <w:spacing w:after="0" w:line="240" w:lineRule="auto"/>
        <w:ind w:left="2880" w:hanging="180"/>
        <w:jc w:val="center"/>
        <w:rPr>
          <w:rFonts w:ascii="Arial" w:hAnsi="Arial" w:cs="Arial"/>
          <w:sz w:val="24"/>
          <w:szCs w:val="24"/>
        </w:rPr>
      </w:pPr>
    </w:p>
    <w:p w14:paraId="429C3B45" w14:textId="77777777" w:rsidR="00270C4A" w:rsidRDefault="00270C4A" w:rsidP="00783463">
      <w:pPr>
        <w:spacing w:after="0" w:line="240" w:lineRule="auto"/>
        <w:ind w:left="2880" w:hanging="180"/>
        <w:jc w:val="center"/>
        <w:rPr>
          <w:rFonts w:ascii="Arial" w:hAnsi="Arial" w:cs="Arial"/>
          <w:sz w:val="24"/>
          <w:szCs w:val="24"/>
        </w:rPr>
      </w:pPr>
      <w:r w:rsidRPr="004E2754">
        <w:rPr>
          <w:rFonts w:ascii="Arial" w:hAnsi="Arial" w:cs="Arial"/>
          <w:sz w:val="24"/>
          <w:szCs w:val="24"/>
        </w:rPr>
        <w:sym w:font="Symbol" w:char="00D3"/>
      </w:r>
      <w:r w:rsidR="00034B8A">
        <w:rPr>
          <w:rFonts w:ascii="Arial" w:hAnsi="Arial" w:cs="Arial"/>
          <w:sz w:val="24"/>
          <w:szCs w:val="24"/>
        </w:rPr>
        <w:t xml:space="preserve"> BIS 2024</w:t>
      </w:r>
    </w:p>
    <w:p w14:paraId="429C3B46" w14:textId="77777777" w:rsidR="004B1677" w:rsidRDefault="004B1677" w:rsidP="00783463">
      <w:pPr>
        <w:spacing w:after="0" w:line="240" w:lineRule="auto"/>
        <w:ind w:left="2880" w:hanging="18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IEC</w:t>
      </w:r>
      <w:r w:rsidRPr="004E2754">
        <w:rPr>
          <w:rFonts w:ascii="Arial" w:hAnsi="Arial" w:cs="Arial"/>
          <w:sz w:val="24"/>
          <w:szCs w:val="24"/>
        </w:rPr>
        <w:t xml:space="preserve"> 20</w:t>
      </w:r>
      <w:r w:rsidR="009E1F20">
        <w:rPr>
          <w:rFonts w:ascii="Arial" w:hAnsi="Arial" w:cs="Arial"/>
          <w:sz w:val="24"/>
          <w:szCs w:val="24"/>
        </w:rPr>
        <w:t>2</w:t>
      </w:r>
      <w:r w:rsidR="00697585">
        <w:rPr>
          <w:rFonts w:ascii="Arial" w:hAnsi="Arial" w:cs="Arial"/>
          <w:sz w:val="24"/>
          <w:szCs w:val="24"/>
        </w:rPr>
        <w:t>4</w:t>
      </w:r>
    </w:p>
    <w:p w14:paraId="429C3B47" w14:textId="77777777" w:rsidR="00270C4A" w:rsidRPr="00CF4653" w:rsidRDefault="004B1677" w:rsidP="00783463">
      <w:pPr>
        <w:spacing w:after="120" w:line="240" w:lineRule="auto"/>
        <w:ind w:left="2880" w:hanging="180"/>
        <w:jc w:val="center"/>
        <w:rPr>
          <w:rFonts w:ascii="Arial" w:hAnsi="Arial" w:cs="Arial"/>
          <w:sz w:val="24"/>
          <w:szCs w:val="24"/>
        </w:rPr>
      </w:pPr>
      <w:r>
        <w:rPr>
          <w:rFonts w:ascii="Arial" w:hAnsi="Arial" w:cs="Arial"/>
          <w:sz w:val="24"/>
          <w:szCs w:val="24"/>
        </w:rPr>
        <w:t xml:space="preserve">  </w:t>
      </w:r>
      <w:r>
        <w:rPr>
          <w:noProof/>
          <w:lang w:bidi="hi-IN"/>
        </w:rPr>
        <w:drawing>
          <wp:inline distT="0" distB="0" distL="0" distR="0" wp14:anchorId="429C3B9F" wp14:editId="429C3BA0">
            <wp:extent cx="4191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429C3B48" w14:textId="77777777" w:rsidR="00270C4A" w:rsidRPr="00CF4653" w:rsidRDefault="00355B47" w:rsidP="009D4DDE">
      <w:pPr>
        <w:spacing w:after="0" w:line="240" w:lineRule="auto"/>
        <w:ind w:left="2880"/>
        <w:jc w:val="center"/>
        <w:rPr>
          <w:rFonts w:ascii="Arial" w:hAnsi="Arial" w:cs="Arial"/>
          <w:sz w:val="24"/>
          <w:szCs w:val="24"/>
        </w:rPr>
      </w:pPr>
      <w:r>
        <w:rPr>
          <w:rFonts w:ascii="Arial" w:hAnsi="Arial" w:cs="Arial"/>
          <w:noProof/>
          <w:position w:val="-1"/>
          <w:sz w:val="10"/>
          <w:lang w:bidi="hi-IN"/>
        </w:rPr>
      </w:r>
      <w:r>
        <w:rPr>
          <w:rFonts w:ascii="Arial" w:hAnsi="Arial" w:cs="Arial"/>
          <w:noProof/>
          <w:position w:val="-1"/>
          <w:sz w:val="10"/>
          <w:lang w:bidi="hi-IN"/>
        </w:rPr>
        <w:pict w14:anchorId="429C3BA2">
          <v:group id="Group 16" o:spid="_x0000_s1031" style="width:317.35pt;height:5pt;mso-position-horizontal-relative:char;mso-position-vertical-relative:line" coordsize="6347,100">
            <v:line id="Line 17" o:spid="_x0000_s1034"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33"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32"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w:r>
    </w:p>
    <w:p w14:paraId="429C3B49" w14:textId="77777777" w:rsidR="00270C4A" w:rsidRPr="00B616F9" w:rsidRDefault="00355B47" w:rsidP="00270C4A">
      <w:pPr>
        <w:spacing w:after="0" w:line="240" w:lineRule="auto"/>
        <w:ind w:left="3510"/>
        <w:jc w:val="both"/>
        <w:rPr>
          <w:rFonts w:ascii="Arial" w:hAnsi="Arial" w:cs="Arial"/>
          <w:sz w:val="18"/>
          <w:szCs w:val="18"/>
        </w:rPr>
      </w:pPr>
      <w:r>
        <w:rPr>
          <w:rFonts w:ascii="Kokila" w:hAnsi="Kokila" w:cs="Kokila"/>
          <w:sz w:val="36"/>
          <w:szCs w:val="36"/>
        </w:rPr>
        <w:object w:dxaOrig="1440" w:dyaOrig="1440" w14:anchorId="429C3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0.3pt;margin-top:9.35pt;width:59.7pt;height:59.7pt;z-index:251658240" o:allowincell="f">
            <v:imagedata r:id="rId7" o:title=""/>
          </v:shape>
          <o:OLEObject Type="Embed" ProgID="MSPhotoEd.3" ShapeID="_x0000_s1030" DrawAspect="Content" ObjectID="_1795956680" r:id="rId8"/>
        </w:object>
      </w:r>
    </w:p>
    <w:p w14:paraId="429C3B4A" w14:textId="77777777" w:rsidR="00270C4A" w:rsidRPr="00B616F9" w:rsidRDefault="00270C4A" w:rsidP="009D4DDE">
      <w:pPr>
        <w:spacing w:after="0" w:line="240" w:lineRule="auto"/>
        <w:ind w:left="3780"/>
        <w:jc w:val="center"/>
        <w:rPr>
          <w:rFonts w:ascii="Kokila" w:hAnsi="Kokila" w:cs="Kokila"/>
          <w:b/>
          <w:bCs/>
          <w:caps/>
          <w:sz w:val="32"/>
          <w:szCs w:val="32"/>
        </w:rPr>
      </w:pPr>
      <w:r w:rsidRPr="00B616F9">
        <w:rPr>
          <w:rFonts w:ascii="Kokila" w:hAnsi="Kokila" w:cs="Kokila"/>
          <w:caps/>
          <w:sz w:val="36"/>
          <w:szCs w:val="36"/>
          <w:cs/>
          <w:lang w:bidi="hi-IN"/>
        </w:rPr>
        <w:t>भारतीय मानक ब्यूरो</w:t>
      </w:r>
    </w:p>
    <w:p w14:paraId="429C3B4B" w14:textId="77777777" w:rsidR="00270C4A" w:rsidRPr="00CF4653" w:rsidRDefault="00270C4A" w:rsidP="009D4DDE">
      <w:pPr>
        <w:autoSpaceDE w:val="0"/>
        <w:autoSpaceDN w:val="0"/>
        <w:adjustRightInd w:val="0"/>
        <w:spacing w:after="0" w:line="240" w:lineRule="auto"/>
        <w:ind w:left="378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29C3B4C" w14:textId="77777777" w:rsidR="00270C4A" w:rsidRPr="00B616F9" w:rsidRDefault="00270C4A" w:rsidP="009D4DDE">
      <w:pPr>
        <w:spacing w:after="0" w:line="240" w:lineRule="auto"/>
        <w:ind w:left="378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429C3B4D" w14:textId="77777777" w:rsidR="00270C4A" w:rsidRPr="00CF4653" w:rsidRDefault="00270C4A" w:rsidP="009D4DDE">
      <w:pPr>
        <w:tabs>
          <w:tab w:val="left" w:pos="3119"/>
          <w:tab w:val="left" w:pos="3828"/>
          <w:tab w:val="left" w:pos="4253"/>
        </w:tabs>
        <w:autoSpaceDE w:val="0"/>
        <w:autoSpaceDN w:val="0"/>
        <w:adjustRightInd w:val="0"/>
        <w:spacing w:after="0" w:line="240" w:lineRule="auto"/>
        <w:ind w:left="378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29C3B4E" w14:textId="77777777" w:rsidR="00270C4A" w:rsidRPr="00CF4653" w:rsidRDefault="00270C4A" w:rsidP="009D4DDE">
      <w:pPr>
        <w:tabs>
          <w:tab w:val="left" w:pos="3119"/>
          <w:tab w:val="left" w:pos="3828"/>
          <w:tab w:val="left" w:pos="4253"/>
        </w:tabs>
        <w:autoSpaceDE w:val="0"/>
        <w:autoSpaceDN w:val="0"/>
        <w:adjustRightInd w:val="0"/>
        <w:spacing w:after="0" w:line="240" w:lineRule="auto"/>
        <w:ind w:left="378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9C3B4F" w14:textId="77777777" w:rsidR="00270C4A" w:rsidRPr="00CF4653" w:rsidRDefault="00270C4A" w:rsidP="009D4DDE">
      <w:pPr>
        <w:spacing w:after="0" w:line="240" w:lineRule="auto"/>
        <w:ind w:left="360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429C3B50" w14:textId="77777777" w:rsidR="00B103A9" w:rsidRDefault="00B103A9" w:rsidP="004B1677">
      <w:pPr>
        <w:spacing w:after="0" w:line="240" w:lineRule="auto"/>
        <w:ind w:left="3510"/>
        <w:rPr>
          <w:rFonts w:ascii="Arial" w:hAnsi="Arial" w:cs="Arial"/>
          <w:sz w:val="24"/>
          <w:szCs w:val="24"/>
        </w:rPr>
      </w:pPr>
    </w:p>
    <w:p w14:paraId="429C3B51" w14:textId="77777777" w:rsidR="00A70ECA" w:rsidRDefault="00B103A9" w:rsidP="00B103A9">
      <w:pPr>
        <w:spacing w:after="0" w:line="240" w:lineRule="auto"/>
        <w:ind w:left="2880"/>
        <w:rPr>
          <w:rFonts w:ascii="Arial" w:hAnsi="Arial" w:cs="Arial"/>
          <w:sz w:val="24"/>
          <w:szCs w:val="24"/>
        </w:rPr>
      </w:pPr>
      <w:r>
        <w:rPr>
          <w:rFonts w:ascii="Arial" w:hAnsi="Arial" w:cs="Arial"/>
          <w:sz w:val="24"/>
          <w:szCs w:val="24"/>
        </w:rPr>
        <w:t xml:space="preserve">    </w:t>
      </w:r>
    </w:p>
    <w:p w14:paraId="429C3B52" w14:textId="77777777" w:rsidR="006E6B10" w:rsidRDefault="00276458" w:rsidP="00B103A9">
      <w:pPr>
        <w:spacing w:after="0" w:line="240" w:lineRule="auto"/>
        <w:ind w:left="2880"/>
        <w:rPr>
          <w:rFonts w:ascii="Arial" w:hAnsi="Arial" w:cs="Arial"/>
          <w:b/>
          <w:bCs/>
          <w:sz w:val="24"/>
          <w:szCs w:val="24"/>
        </w:rPr>
      </w:pPr>
      <w:r>
        <w:rPr>
          <w:rFonts w:ascii="Arial" w:hAnsi="Arial" w:cs="Arial"/>
          <w:b/>
          <w:bCs/>
          <w:iCs/>
          <w:sz w:val="24"/>
          <w:szCs w:val="24"/>
        </w:rPr>
        <w:t>December</w:t>
      </w:r>
      <w:r w:rsidR="00A27F6F">
        <w:rPr>
          <w:rFonts w:ascii="Arial" w:hAnsi="Arial" w:cs="Arial"/>
          <w:b/>
          <w:bCs/>
          <w:iCs/>
          <w:sz w:val="24"/>
          <w:szCs w:val="24"/>
        </w:rPr>
        <w:t xml:space="preserve"> </w:t>
      </w:r>
      <w:r w:rsidR="00270C4A" w:rsidRPr="00CF4653">
        <w:rPr>
          <w:rFonts w:ascii="Arial" w:hAnsi="Arial" w:cs="Arial"/>
          <w:b/>
          <w:bCs/>
          <w:sz w:val="24"/>
          <w:szCs w:val="24"/>
        </w:rPr>
        <w:t>202</w:t>
      </w:r>
      <w:r w:rsidR="00A27F6F">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1E2A19">
        <w:rPr>
          <w:rFonts w:ascii="Arial" w:hAnsi="Arial" w:cs="Arial"/>
          <w:b/>
          <w:bCs/>
          <w:sz w:val="24"/>
          <w:szCs w:val="24"/>
        </w:rPr>
        <w:t xml:space="preserve">  </w:t>
      </w:r>
      <w:r w:rsidR="00270C4A">
        <w:rPr>
          <w:rFonts w:ascii="Arial" w:hAnsi="Arial" w:cs="Arial"/>
          <w:b/>
          <w:bCs/>
          <w:sz w:val="24"/>
          <w:szCs w:val="24"/>
        </w:rPr>
        <w:t xml:space="preserve">  </w:t>
      </w:r>
      <w:r w:rsidR="001E2A19">
        <w:rPr>
          <w:rFonts w:ascii="Arial" w:hAnsi="Arial" w:cs="Arial"/>
          <w:b/>
          <w:bCs/>
          <w:sz w:val="24"/>
          <w:szCs w:val="24"/>
        </w:rPr>
        <w:t xml:space="preserve">  </w:t>
      </w:r>
      <w:r w:rsidR="00270C4A">
        <w:rPr>
          <w:rFonts w:ascii="Arial" w:hAnsi="Arial" w:cs="Arial"/>
          <w:b/>
          <w:bCs/>
          <w:sz w:val="24"/>
          <w:szCs w:val="24"/>
        </w:rPr>
        <w:t xml:space="preserve">             Price Group X</w:t>
      </w:r>
    </w:p>
    <w:p w14:paraId="429C3B53" w14:textId="77777777" w:rsidR="00A27F6F" w:rsidRDefault="00A27F6F" w:rsidP="00A27F6F">
      <w:pPr>
        <w:pStyle w:val="BodyText"/>
        <w:jc w:val="both"/>
      </w:pPr>
      <w:r>
        <w:lastRenderedPageBreak/>
        <w:t xml:space="preserve">Power Electronics </w:t>
      </w:r>
      <w:r w:rsidRPr="009433F3">
        <w:t>Sectional Committee</w:t>
      </w:r>
      <w:r>
        <w:t>, ETD 31</w:t>
      </w:r>
    </w:p>
    <w:p w14:paraId="429C3B54" w14:textId="77777777" w:rsidR="00A27F6F" w:rsidRDefault="00A27F6F" w:rsidP="00A27F6F">
      <w:pPr>
        <w:pStyle w:val="BodyText"/>
        <w:jc w:val="both"/>
      </w:pPr>
    </w:p>
    <w:p w14:paraId="429C3B55" w14:textId="77777777" w:rsidR="00CC36AC" w:rsidRDefault="00CC36AC" w:rsidP="00CC36AC">
      <w:pPr>
        <w:pStyle w:val="BodyText"/>
        <w:jc w:val="both"/>
      </w:pPr>
      <w:r w:rsidRPr="009433F3">
        <w:t>NATIONAL FOREWORD</w:t>
      </w:r>
    </w:p>
    <w:p w14:paraId="429C3B56" w14:textId="77777777" w:rsidR="00CC36AC" w:rsidRDefault="00CC36AC" w:rsidP="00CC36AC">
      <w:pPr>
        <w:pStyle w:val="BodyText"/>
        <w:jc w:val="both"/>
      </w:pPr>
    </w:p>
    <w:p w14:paraId="429C3B57" w14:textId="77777777" w:rsidR="00CC36AC" w:rsidRDefault="00CC36AC" w:rsidP="00CC36AC">
      <w:pPr>
        <w:pStyle w:val="BodyText"/>
        <w:jc w:val="both"/>
      </w:pPr>
      <w:r>
        <w:t xml:space="preserve">This Indian Standard </w:t>
      </w:r>
      <w:r w:rsidR="00F8060D">
        <w:t xml:space="preserve">(Part 1/Sec 1) </w:t>
      </w:r>
      <w:r>
        <w:t xml:space="preserve">(First Revision) </w:t>
      </w:r>
      <w:r w:rsidRPr="009433F3">
        <w:t>which is</w:t>
      </w:r>
      <w:r>
        <w:t xml:space="preserve"> identical with IEC 60146-1-1: 2024 </w:t>
      </w:r>
      <w:r w:rsidRPr="0071594B">
        <w:t>‘</w:t>
      </w:r>
      <w:r>
        <w:t>Semiconductor converters – General requirements and line commutated converters – Part 1-1: Specification of basic requirements</w:t>
      </w:r>
      <w:r w:rsidRPr="009433F3">
        <w:t>’ issued by the International Elect</w:t>
      </w:r>
      <w:r>
        <w:t xml:space="preserve">rotechnical Commission (IEC) </w:t>
      </w:r>
      <w:r w:rsidR="00C7624E">
        <w:t>was</w:t>
      </w:r>
      <w:r>
        <w:t xml:space="preserve"> adopted</w:t>
      </w:r>
      <w:r w:rsidRPr="00C10AAF">
        <w:t xml:space="preserve"> </w:t>
      </w:r>
      <w:r>
        <w:t xml:space="preserve">by </w:t>
      </w:r>
      <w:r w:rsidRPr="008614B7">
        <w:t>the</w:t>
      </w:r>
      <w:r w:rsidRPr="009433F3">
        <w:t xml:space="preserve"> Bureau of Indian Standards on the recommendation of the </w:t>
      </w:r>
      <w:r>
        <w:t xml:space="preserve">Power Electronics Sectional </w:t>
      </w:r>
      <w:r w:rsidRPr="009433F3">
        <w:t xml:space="preserve">Committee and approval of the Electrotechnical Division Council. </w:t>
      </w:r>
    </w:p>
    <w:p w14:paraId="429C3B58" w14:textId="77777777" w:rsidR="00CC36AC" w:rsidRDefault="00CC36AC" w:rsidP="00CC36AC">
      <w:pPr>
        <w:pStyle w:val="BodyText"/>
        <w:jc w:val="both"/>
      </w:pPr>
    </w:p>
    <w:p w14:paraId="429C3B59" w14:textId="77777777" w:rsidR="00CC36AC" w:rsidRDefault="00CC36AC" w:rsidP="00CC36AC">
      <w:pPr>
        <w:pStyle w:val="BodyText"/>
        <w:jc w:val="both"/>
      </w:pPr>
      <w:r w:rsidRPr="000A670B">
        <w:t xml:space="preserve">This standard was originally published in </w:t>
      </w:r>
      <w:r>
        <w:t>2017</w:t>
      </w:r>
      <w:r w:rsidRPr="000A670B">
        <w:t>.</w:t>
      </w:r>
      <w:r w:rsidR="00A70ECA">
        <w:t xml:space="preserve"> </w:t>
      </w:r>
      <w:r>
        <w:t>The first</w:t>
      </w:r>
      <w:r w:rsidRPr="000A670B">
        <w:t xml:space="preserve"> revision of this standard has been undertaken to align it with the latest</w:t>
      </w:r>
      <w:r>
        <w:t xml:space="preserve"> version of </w:t>
      </w:r>
      <w:r w:rsidRPr="00C85439">
        <w:t xml:space="preserve">IEC </w:t>
      </w:r>
      <w:r>
        <w:t>60146-1-1: 2024</w:t>
      </w:r>
      <w:r w:rsidRPr="000A670B">
        <w:t>.</w:t>
      </w:r>
    </w:p>
    <w:p w14:paraId="429C3B5A" w14:textId="77777777" w:rsidR="00CC36AC" w:rsidRPr="009433F3" w:rsidRDefault="00CC36AC" w:rsidP="00CC36AC">
      <w:pPr>
        <w:pStyle w:val="BodyText"/>
        <w:jc w:val="both"/>
      </w:pPr>
    </w:p>
    <w:p w14:paraId="429C3B5B" w14:textId="77777777" w:rsidR="00CC36AC" w:rsidRPr="009433F3" w:rsidRDefault="00CC36AC" w:rsidP="00CC36AC">
      <w:pPr>
        <w:pStyle w:val="BodyText"/>
        <w:jc w:val="both"/>
      </w:pPr>
      <w:bookmarkStart w:id="0" w:name="This_standard_(Part_3/Sec_3)_covers_the_"/>
      <w:bookmarkStart w:id="1" w:name="The_text_of_the_IEC_Standard_has_been_ap"/>
      <w:bookmarkEnd w:id="0"/>
      <w:bookmarkEnd w:id="1"/>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429C3B5C" w14:textId="77777777" w:rsidR="00CC36AC" w:rsidRPr="009433F3" w:rsidRDefault="00CC36AC" w:rsidP="00CC36AC">
      <w:pPr>
        <w:pStyle w:val="BodyText"/>
        <w:numPr>
          <w:ilvl w:val="0"/>
          <w:numId w:val="1"/>
        </w:numPr>
        <w:spacing w:before="269"/>
        <w:ind w:left="990"/>
        <w:jc w:val="both"/>
      </w:pPr>
      <w:r w:rsidRPr="009433F3">
        <w:t>Wherever the words ‘International Standard’ appears referring to this standard, they should be read as ‘Indian Standard’.</w:t>
      </w:r>
    </w:p>
    <w:p w14:paraId="429C3B5D" w14:textId="77777777" w:rsidR="00CC36AC" w:rsidRDefault="00CC36AC" w:rsidP="00CC36AC">
      <w:pPr>
        <w:pStyle w:val="BodyText"/>
        <w:numPr>
          <w:ilvl w:val="0"/>
          <w:numId w:val="1"/>
        </w:numPr>
        <w:spacing w:before="269"/>
        <w:ind w:left="990"/>
        <w:jc w:val="both"/>
      </w:pPr>
      <w:r w:rsidRPr="009433F3">
        <w:t>Comma (,) has been used as a decimal marker, while in Indian Standards the current practice is to use a point (.) as the decimal marker.</w:t>
      </w:r>
    </w:p>
    <w:p w14:paraId="340182DA" w14:textId="6050E2BD" w:rsidR="00087E94" w:rsidRPr="009433F3" w:rsidRDefault="00087E94" w:rsidP="00087E94">
      <w:pPr>
        <w:pStyle w:val="BodyText"/>
        <w:spacing w:before="269"/>
        <w:jc w:val="both"/>
      </w:pPr>
      <w:r>
        <w:t xml:space="preserve">In this revision, </w:t>
      </w:r>
      <w:r w:rsidR="003B4E76">
        <w:t xml:space="preserve">scope has been further </w:t>
      </w:r>
      <w:r w:rsidR="00BA5536">
        <w:t xml:space="preserve">clarified and additional definitions for </w:t>
      </w:r>
      <w:r w:rsidR="00702A01">
        <w:t xml:space="preserve">terms relevant for the topic have been added. </w:t>
      </w:r>
      <w:r w:rsidR="00702A01" w:rsidRPr="00702A01">
        <w:t xml:space="preserve">Figure </w:t>
      </w:r>
      <w:r w:rsidR="00763731">
        <w:t>for t</w:t>
      </w:r>
      <w:r w:rsidR="00702A01" w:rsidRPr="00702A01">
        <w:t>ypes of commutation</w:t>
      </w:r>
      <w:r w:rsidR="00702A01">
        <w:t xml:space="preserve"> has also been updated</w:t>
      </w:r>
      <w:r w:rsidR="00763731">
        <w:t xml:space="preserve">. </w:t>
      </w:r>
      <w:r w:rsidR="00E42F5C">
        <w:t>Additional figure for r</w:t>
      </w:r>
      <w:r w:rsidR="00E42F5C" w:rsidRPr="00E42F5C">
        <w:t>epetitive and non-repetitive transients</w:t>
      </w:r>
      <w:r w:rsidR="00E42F5C">
        <w:t xml:space="preserve"> has been added. Updated </w:t>
      </w:r>
      <w:r w:rsidR="00F14BB8">
        <w:t>values for various calculation factors have been included as well.</w:t>
      </w:r>
      <w:r w:rsidR="00DB7BF8">
        <w:t xml:space="preserve"> Claus</w:t>
      </w:r>
      <w:r w:rsidR="00A56645">
        <w:t xml:space="preserve">es related to duty classes, insulation tests, </w:t>
      </w:r>
      <w:r w:rsidR="00355B47">
        <w:t xml:space="preserve">and </w:t>
      </w:r>
      <w:r w:rsidR="007C3C81">
        <w:t>m</w:t>
      </w:r>
      <w:r w:rsidR="007C3C81" w:rsidRPr="007C3C81">
        <w:t>ethods of measurement</w:t>
      </w:r>
      <w:r w:rsidR="007C3C81">
        <w:t xml:space="preserve"> have been updated.</w:t>
      </w:r>
    </w:p>
    <w:p w14:paraId="429C3B5E" w14:textId="77777777" w:rsidR="00CC36AC" w:rsidRDefault="00CC36AC" w:rsidP="00CC36AC">
      <w:pPr>
        <w:pStyle w:val="BodyText"/>
        <w:spacing w:before="269"/>
        <w:jc w:val="both"/>
      </w:pPr>
      <w:r w:rsidRPr="009433F3">
        <w:t>In this adopted standard, reference appears to International Standards for which Indian Standards also exists. The corresponding Indian Standards, which are to be substituted, are listed below along with their degree of equivalence for the editions indicated:</w:t>
      </w:r>
    </w:p>
    <w:p w14:paraId="429C3B5F" w14:textId="77777777" w:rsidR="00CC36AC" w:rsidRPr="009433F3" w:rsidRDefault="00CC36AC" w:rsidP="00CC36AC">
      <w:pPr>
        <w:pStyle w:val="BodyText"/>
        <w:jc w:val="both"/>
      </w:pP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5"/>
        <w:gridCol w:w="3600"/>
        <w:gridCol w:w="2430"/>
      </w:tblGrid>
      <w:tr w:rsidR="00CC36AC" w:rsidRPr="0001245F" w14:paraId="429C3B63" w14:textId="77777777" w:rsidTr="00E52732">
        <w:trPr>
          <w:trHeight w:val="465"/>
        </w:trPr>
        <w:tc>
          <w:tcPr>
            <w:tcW w:w="3065" w:type="dxa"/>
            <w:shd w:val="clear" w:color="auto" w:fill="auto"/>
          </w:tcPr>
          <w:p w14:paraId="429C3B60" w14:textId="77777777" w:rsidR="00CC36AC" w:rsidRPr="0001245F" w:rsidRDefault="00CC36AC" w:rsidP="0001245F">
            <w:pPr>
              <w:pStyle w:val="BodyText"/>
              <w:ind w:left="90" w:right="90"/>
              <w:jc w:val="both"/>
              <w:rPr>
                <w:i/>
                <w:iCs/>
              </w:rPr>
            </w:pPr>
            <w:r w:rsidRPr="0001245F">
              <w:rPr>
                <w:i/>
                <w:iCs/>
              </w:rPr>
              <w:t>International Standard</w:t>
            </w:r>
          </w:p>
        </w:tc>
        <w:tc>
          <w:tcPr>
            <w:tcW w:w="3600" w:type="dxa"/>
            <w:shd w:val="clear" w:color="auto" w:fill="auto"/>
          </w:tcPr>
          <w:p w14:paraId="429C3B61" w14:textId="77777777" w:rsidR="00CC36AC" w:rsidRPr="0001245F" w:rsidRDefault="00CC36AC" w:rsidP="0001245F">
            <w:pPr>
              <w:pStyle w:val="BodyText"/>
              <w:ind w:left="90" w:right="170"/>
              <w:jc w:val="both"/>
              <w:rPr>
                <w:i/>
                <w:iCs/>
              </w:rPr>
            </w:pPr>
            <w:r w:rsidRPr="0001245F">
              <w:rPr>
                <w:i/>
                <w:iCs/>
              </w:rPr>
              <w:t>Corresponding Indian Standard</w:t>
            </w:r>
          </w:p>
        </w:tc>
        <w:tc>
          <w:tcPr>
            <w:tcW w:w="2430" w:type="dxa"/>
            <w:shd w:val="clear" w:color="auto" w:fill="auto"/>
          </w:tcPr>
          <w:p w14:paraId="429C3B62" w14:textId="77777777" w:rsidR="00CC36AC" w:rsidRPr="0001245F" w:rsidRDefault="00CC36AC" w:rsidP="001620AD">
            <w:pPr>
              <w:pStyle w:val="BodyText"/>
              <w:ind w:left="90" w:right="50"/>
              <w:jc w:val="center"/>
              <w:rPr>
                <w:i/>
                <w:iCs/>
              </w:rPr>
            </w:pPr>
            <w:r w:rsidRPr="0001245F">
              <w:rPr>
                <w:i/>
                <w:iCs/>
              </w:rPr>
              <w:t>Degree of Equivalence</w:t>
            </w:r>
          </w:p>
        </w:tc>
      </w:tr>
      <w:tr w:rsidR="00CC36AC" w:rsidRPr="0001245F" w14:paraId="429C3B67" w14:textId="77777777" w:rsidTr="00E52732">
        <w:trPr>
          <w:trHeight w:val="465"/>
        </w:trPr>
        <w:tc>
          <w:tcPr>
            <w:tcW w:w="3065" w:type="dxa"/>
            <w:shd w:val="clear" w:color="auto" w:fill="auto"/>
          </w:tcPr>
          <w:p w14:paraId="429C3B64" w14:textId="77777777" w:rsidR="00CC36AC" w:rsidRPr="0001245F" w:rsidRDefault="00CC36AC" w:rsidP="0001245F">
            <w:pPr>
              <w:pStyle w:val="BodyText"/>
              <w:ind w:left="90" w:right="90"/>
              <w:jc w:val="both"/>
              <w:rPr>
                <w:i/>
                <w:iCs/>
              </w:rPr>
            </w:pPr>
            <w:r w:rsidRPr="0001245F">
              <w:t>IEC 60050-551:1998, International Electrotechnical Vocabulary (IEV) – Part 551: Power electronics</w:t>
            </w:r>
          </w:p>
        </w:tc>
        <w:tc>
          <w:tcPr>
            <w:tcW w:w="3600" w:type="dxa"/>
            <w:shd w:val="clear" w:color="auto" w:fill="auto"/>
          </w:tcPr>
          <w:p w14:paraId="429C3B65" w14:textId="77777777" w:rsidR="00CC36AC" w:rsidRPr="0001245F" w:rsidRDefault="00CC36AC" w:rsidP="0001245F">
            <w:pPr>
              <w:pStyle w:val="BodyText"/>
              <w:ind w:left="90" w:right="90"/>
              <w:jc w:val="both"/>
            </w:pPr>
            <w:r w:rsidRPr="0001245F">
              <w:t>IS 1885 (Part 27) : 2008/ IEC 60050-551:</w:t>
            </w:r>
            <w:r w:rsidR="0001245F" w:rsidRPr="0001245F">
              <w:t xml:space="preserve"> </w:t>
            </w:r>
            <w:r w:rsidRPr="0001245F">
              <w:t xml:space="preserve">1998 Electrotechnical vocabulary Part 27 </w:t>
            </w:r>
            <w:r w:rsidR="003F2BB5" w:rsidRPr="0001245F">
              <w:t xml:space="preserve">Power </w:t>
            </w:r>
            <w:r w:rsidRPr="0001245F">
              <w:t>electronics (</w:t>
            </w:r>
            <w:r w:rsidRPr="0001245F">
              <w:rPr>
                <w:i/>
                <w:iCs/>
              </w:rPr>
              <w:t>third revision</w:t>
            </w:r>
            <w:r w:rsidRPr="0001245F">
              <w:t>)</w:t>
            </w:r>
          </w:p>
        </w:tc>
        <w:tc>
          <w:tcPr>
            <w:tcW w:w="2430" w:type="dxa"/>
            <w:shd w:val="clear" w:color="auto" w:fill="auto"/>
          </w:tcPr>
          <w:p w14:paraId="429C3B66" w14:textId="77777777" w:rsidR="00CC36AC" w:rsidRPr="0001245F" w:rsidRDefault="00CC36AC" w:rsidP="001620AD">
            <w:pPr>
              <w:pStyle w:val="BodyText"/>
              <w:ind w:left="90" w:right="50"/>
              <w:jc w:val="center"/>
              <w:rPr>
                <w:i/>
                <w:iCs/>
              </w:rPr>
            </w:pPr>
            <w:r w:rsidRPr="0001245F">
              <w:t>Identical</w:t>
            </w:r>
          </w:p>
        </w:tc>
      </w:tr>
      <w:tr w:rsidR="00CC36AC" w:rsidRPr="0001245F" w14:paraId="429C3B6B" w14:textId="77777777" w:rsidTr="00E52732">
        <w:trPr>
          <w:trHeight w:val="465"/>
        </w:trPr>
        <w:tc>
          <w:tcPr>
            <w:tcW w:w="3065" w:type="dxa"/>
            <w:shd w:val="clear" w:color="auto" w:fill="auto"/>
          </w:tcPr>
          <w:p w14:paraId="429C3B68" w14:textId="77777777" w:rsidR="00CC36AC" w:rsidRPr="0001245F" w:rsidRDefault="00CC36AC" w:rsidP="0001245F">
            <w:pPr>
              <w:pStyle w:val="BodyText"/>
              <w:ind w:left="90" w:right="90"/>
              <w:jc w:val="both"/>
            </w:pPr>
            <w:r w:rsidRPr="0001245F">
              <w:t>IEC 60664-1:2020, Insulation coordination for equipment within low-voltage supply systems – Part 1: Principles, requirements and tests</w:t>
            </w:r>
          </w:p>
        </w:tc>
        <w:tc>
          <w:tcPr>
            <w:tcW w:w="3600" w:type="dxa"/>
            <w:shd w:val="clear" w:color="auto" w:fill="auto"/>
          </w:tcPr>
          <w:p w14:paraId="429C3B69" w14:textId="77777777" w:rsidR="00CC36AC" w:rsidRPr="0001245F" w:rsidRDefault="00CC36AC" w:rsidP="0001245F">
            <w:pPr>
              <w:pStyle w:val="BodyText"/>
              <w:ind w:left="90" w:right="170"/>
              <w:jc w:val="both"/>
            </w:pPr>
            <w:r w:rsidRPr="0001245F">
              <w:t>IS 15382 (Part 1) : 2022/ IEC 60664-1: 2020 Insulation coordination for equipment within Low-Voltage systems Part 1 Principles requirements and tests</w:t>
            </w:r>
          </w:p>
        </w:tc>
        <w:tc>
          <w:tcPr>
            <w:tcW w:w="2430" w:type="dxa"/>
            <w:shd w:val="clear" w:color="auto" w:fill="auto"/>
          </w:tcPr>
          <w:p w14:paraId="429C3B6A" w14:textId="77777777" w:rsidR="00CC36AC" w:rsidRPr="0001245F" w:rsidRDefault="00CC36AC" w:rsidP="001620AD">
            <w:pPr>
              <w:pStyle w:val="BodyText"/>
              <w:ind w:left="90" w:right="50"/>
              <w:jc w:val="center"/>
            </w:pPr>
            <w:r w:rsidRPr="0001245F">
              <w:t>Identical</w:t>
            </w:r>
          </w:p>
        </w:tc>
      </w:tr>
      <w:tr w:rsidR="00CC36AC" w:rsidRPr="0001245F" w14:paraId="429C3B6F" w14:textId="77777777" w:rsidTr="00E52732">
        <w:trPr>
          <w:trHeight w:val="465"/>
        </w:trPr>
        <w:tc>
          <w:tcPr>
            <w:tcW w:w="3065" w:type="dxa"/>
            <w:shd w:val="clear" w:color="auto" w:fill="auto"/>
          </w:tcPr>
          <w:p w14:paraId="429C3B6C" w14:textId="77777777" w:rsidR="00CC36AC" w:rsidRPr="0001245F" w:rsidRDefault="00CC36AC" w:rsidP="0001245F">
            <w:pPr>
              <w:pStyle w:val="BodyText"/>
              <w:ind w:left="90" w:right="50"/>
              <w:jc w:val="both"/>
            </w:pPr>
            <w:r w:rsidRPr="0001245F">
              <w:t xml:space="preserve">IEC 61000-3-2: 2018, Electromagnetic compatibility (EMC) – Part 3-2: Limits – Limits for harmonic current emissions (equipment input </w:t>
            </w:r>
            <w:r w:rsidRPr="0001245F">
              <w:lastRenderedPageBreak/>
              <w:t>current ≤16 A per phase)</w:t>
            </w:r>
          </w:p>
        </w:tc>
        <w:tc>
          <w:tcPr>
            <w:tcW w:w="3600" w:type="dxa"/>
            <w:shd w:val="clear" w:color="auto" w:fill="auto"/>
          </w:tcPr>
          <w:p w14:paraId="429C3B6D" w14:textId="77777777" w:rsidR="00CC36AC" w:rsidRPr="0001245F" w:rsidRDefault="00CC36AC" w:rsidP="0001245F">
            <w:pPr>
              <w:pStyle w:val="BodyText"/>
              <w:ind w:left="90" w:right="170"/>
              <w:jc w:val="both"/>
            </w:pPr>
            <w:r w:rsidRPr="0001245F">
              <w:lastRenderedPageBreak/>
              <w:t>IS 14700 (Part 3/Sec 2) : 2020/ IEC 61000-3-2 : 2018 Electromagnetic Compatibility (EMC) Part 3 Limits Section 2 Limits f</w:t>
            </w:r>
            <w:r w:rsidR="003F2BB5">
              <w:t xml:space="preserve">or harmonic current </w:t>
            </w:r>
            <w:r w:rsidR="003F2BB5">
              <w:lastRenderedPageBreak/>
              <w:t>emissions (</w:t>
            </w:r>
            <w:r w:rsidRPr="0001245F">
              <w:t>equipment</w:t>
            </w:r>
            <w:r w:rsidR="003F2BB5">
              <w:t xml:space="preserve"> input current ? 16 A per phase</w:t>
            </w:r>
            <w:r w:rsidRPr="0001245F">
              <w:t xml:space="preserve">) </w:t>
            </w:r>
            <w:r w:rsidRPr="0001245F">
              <w:rPr>
                <w:i/>
                <w:iCs/>
              </w:rPr>
              <w:t>( third revision )</w:t>
            </w:r>
          </w:p>
        </w:tc>
        <w:tc>
          <w:tcPr>
            <w:tcW w:w="2430" w:type="dxa"/>
            <w:shd w:val="clear" w:color="auto" w:fill="auto"/>
          </w:tcPr>
          <w:p w14:paraId="429C3B6E" w14:textId="77777777" w:rsidR="00CC36AC" w:rsidRPr="0001245F" w:rsidRDefault="00CC36AC" w:rsidP="001620AD">
            <w:pPr>
              <w:jc w:val="center"/>
              <w:rPr>
                <w:rFonts w:ascii="Times New Roman" w:hAnsi="Times New Roman" w:cs="Times New Roman"/>
                <w:sz w:val="24"/>
                <w:szCs w:val="24"/>
              </w:rPr>
            </w:pPr>
            <w:r w:rsidRPr="0001245F">
              <w:rPr>
                <w:rFonts w:ascii="Times New Roman" w:hAnsi="Times New Roman" w:cs="Times New Roman"/>
                <w:sz w:val="24"/>
                <w:szCs w:val="24"/>
              </w:rPr>
              <w:lastRenderedPageBreak/>
              <w:t>Identical</w:t>
            </w:r>
          </w:p>
        </w:tc>
      </w:tr>
      <w:tr w:rsidR="00CC36AC" w:rsidRPr="0001245F" w14:paraId="429C3B73" w14:textId="77777777" w:rsidTr="00E52732">
        <w:trPr>
          <w:trHeight w:val="465"/>
        </w:trPr>
        <w:tc>
          <w:tcPr>
            <w:tcW w:w="3065" w:type="dxa"/>
            <w:shd w:val="clear" w:color="auto" w:fill="auto"/>
          </w:tcPr>
          <w:p w14:paraId="429C3B70" w14:textId="77777777" w:rsidR="00CC36AC" w:rsidRPr="0001245F" w:rsidRDefault="00CC36AC" w:rsidP="0001245F">
            <w:pPr>
              <w:pStyle w:val="BodyText"/>
              <w:ind w:left="90" w:right="50"/>
              <w:jc w:val="both"/>
            </w:pPr>
            <w:r w:rsidRPr="0001245F">
              <w:t>IEC 61000-4-7:2002, Electromagnetic compatibility (EMC) – Part 4-7: Testing and measurement techniques –</w:t>
            </w:r>
            <w:r w:rsidR="007013D8">
              <w:t xml:space="preserve"> General guide on harmonics and </w:t>
            </w:r>
            <w:r w:rsidRPr="0001245F">
              <w:t>interharmonics measurements and instrumentation, for power supply systems and equipment connected thereto</w:t>
            </w:r>
          </w:p>
        </w:tc>
        <w:tc>
          <w:tcPr>
            <w:tcW w:w="3600" w:type="dxa"/>
            <w:shd w:val="clear" w:color="auto" w:fill="auto"/>
          </w:tcPr>
          <w:p w14:paraId="429C3B71" w14:textId="77777777" w:rsidR="00CC36AC" w:rsidRPr="0001245F" w:rsidRDefault="00CC36AC" w:rsidP="0001245F">
            <w:pPr>
              <w:pStyle w:val="BodyText"/>
              <w:ind w:left="90" w:right="170"/>
              <w:jc w:val="both"/>
            </w:pPr>
            <w:r w:rsidRPr="0001245F">
              <w:t xml:space="preserve">IS 14700 (Part 4/Sec 7) : 2017/ IEC 61000-4-7 : 2009 Electromagnetic compatibility (EMC) Part 4 </w:t>
            </w:r>
            <w:r w:rsidR="00EC62E3" w:rsidRPr="0001245F">
              <w:t xml:space="preserve">Testing </w:t>
            </w:r>
            <w:r w:rsidRPr="0001245F">
              <w:t xml:space="preserve">and measurement techniques Section 7 </w:t>
            </w:r>
            <w:r w:rsidR="00EC62E3" w:rsidRPr="0001245F">
              <w:t xml:space="preserve">General </w:t>
            </w:r>
            <w:r w:rsidRPr="0001245F">
              <w:t xml:space="preserve">guide on harmonic and interharmonics measurements and instrumentation, for power supply systems and equipment connected thereto </w:t>
            </w:r>
            <w:r w:rsidRPr="0001245F">
              <w:rPr>
                <w:i/>
                <w:iCs/>
              </w:rPr>
              <w:t>(first revision)</w:t>
            </w:r>
          </w:p>
        </w:tc>
        <w:tc>
          <w:tcPr>
            <w:tcW w:w="2430" w:type="dxa"/>
            <w:shd w:val="clear" w:color="auto" w:fill="auto"/>
          </w:tcPr>
          <w:p w14:paraId="429C3B72" w14:textId="77777777" w:rsidR="00CC36AC" w:rsidRPr="0001245F" w:rsidRDefault="00CC36AC" w:rsidP="001620AD">
            <w:pPr>
              <w:jc w:val="center"/>
              <w:rPr>
                <w:rFonts w:ascii="Times New Roman" w:hAnsi="Times New Roman" w:cs="Times New Roman"/>
                <w:sz w:val="24"/>
                <w:szCs w:val="24"/>
              </w:rPr>
            </w:pPr>
            <w:r w:rsidRPr="0001245F">
              <w:rPr>
                <w:rFonts w:ascii="Times New Roman" w:hAnsi="Times New Roman" w:cs="Times New Roman"/>
                <w:sz w:val="24"/>
                <w:szCs w:val="24"/>
              </w:rPr>
              <w:t>Identical</w:t>
            </w:r>
          </w:p>
        </w:tc>
      </w:tr>
      <w:tr w:rsidR="00CC36AC" w:rsidRPr="0001245F" w14:paraId="429C3B77" w14:textId="77777777" w:rsidTr="00E52732">
        <w:trPr>
          <w:trHeight w:val="465"/>
        </w:trPr>
        <w:tc>
          <w:tcPr>
            <w:tcW w:w="3065" w:type="dxa"/>
            <w:shd w:val="clear" w:color="auto" w:fill="auto"/>
          </w:tcPr>
          <w:p w14:paraId="429C3B74" w14:textId="77777777" w:rsidR="00CC36AC" w:rsidRPr="0001245F" w:rsidRDefault="00CC36AC" w:rsidP="0001245F">
            <w:pPr>
              <w:pStyle w:val="BodyText"/>
              <w:ind w:left="90" w:right="50"/>
              <w:jc w:val="both"/>
            </w:pPr>
            <w:r w:rsidRPr="0001245F">
              <w:t>IEC 61000-6-1:2016, Electromagnetic compatibility (EMC) – Part 6-1: Generic standards – Immunity standard for residential, commercial and light-industrial environments</w:t>
            </w:r>
          </w:p>
        </w:tc>
        <w:tc>
          <w:tcPr>
            <w:tcW w:w="3600" w:type="dxa"/>
            <w:shd w:val="clear" w:color="auto" w:fill="auto"/>
          </w:tcPr>
          <w:p w14:paraId="429C3B75" w14:textId="77777777" w:rsidR="00CC36AC" w:rsidRPr="0001245F" w:rsidRDefault="00CC36AC" w:rsidP="0001245F">
            <w:pPr>
              <w:pStyle w:val="BodyText"/>
              <w:ind w:left="90" w:right="170"/>
              <w:jc w:val="both"/>
            </w:pPr>
            <w:r w:rsidRPr="0001245F">
              <w:t xml:space="preserve">IS 14700 (Part 6/Sec 1) : 2019/ IEC 61000-6-1 : 2016 Electromagnetic compatibility ( EMC ) Part 6 Generic standards Section 1 Immunity standard for residential, commercial and light-industrial environments ( </w:t>
            </w:r>
            <w:r w:rsidRPr="0001245F">
              <w:rPr>
                <w:i/>
                <w:iCs/>
              </w:rPr>
              <w:t>first revision</w:t>
            </w:r>
            <w:r w:rsidRPr="0001245F">
              <w:t xml:space="preserve"> )</w:t>
            </w:r>
          </w:p>
        </w:tc>
        <w:tc>
          <w:tcPr>
            <w:tcW w:w="2430" w:type="dxa"/>
            <w:shd w:val="clear" w:color="auto" w:fill="auto"/>
          </w:tcPr>
          <w:p w14:paraId="429C3B76" w14:textId="77777777" w:rsidR="00CC36AC" w:rsidRPr="0001245F" w:rsidRDefault="00CC36AC" w:rsidP="001620AD">
            <w:pPr>
              <w:jc w:val="center"/>
              <w:rPr>
                <w:rFonts w:ascii="Times New Roman" w:hAnsi="Times New Roman" w:cs="Times New Roman"/>
                <w:sz w:val="24"/>
                <w:szCs w:val="24"/>
              </w:rPr>
            </w:pPr>
            <w:r w:rsidRPr="0001245F">
              <w:rPr>
                <w:rFonts w:ascii="Times New Roman" w:hAnsi="Times New Roman" w:cs="Times New Roman"/>
                <w:sz w:val="24"/>
                <w:szCs w:val="24"/>
              </w:rPr>
              <w:t>Identical</w:t>
            </w:r>
          </w:p>
        </w:tc>
      </w:tr>
      <w:tr w:rsidR="00CC36AC" w:rsidRPr="0001245F" w14:paraId="429C3B7B" w14:textId="77777777" w:rsidTr="00E52732">
        <w:trPr>
          <w:trHeight w:val="465"/>
        </w:trPr>
        <w:tc>
          <w:tcPr>
            <w:tcW w:w="3065" w:type="dxa"/>
            <w:shd w:val="clear" w:color="auto" w:fill="auto"/>
          </w:tcPr>
          <w:p w14:paraId="429C3B78" w14:textId="77777777" w:rsidR="00CC36AC" w:rsidRPr="0001245F" w:rsidRDefault="00CC36AC" w:rsidP="0001245F">
            <w:pPr>
              <w:pStyle w:val="BodyText"/>
              <w:ind w:left="90" w:right="50"/>
              <w:jc w:val="both"/>
            </w:pPr>
            <w:r w:rsidRPr="0001245F">
              <w:t>IEC 61000-6-2:2016, Electromagnetic compatibility (EMC) – Part 6-2: Generic standards – Immunity standard for industrial environments</w:t>
            </w:r>
          </w:p>
        </w:tc>
        <w:tc>
          <w:tcPr>
            <w:tcW w:w="3600" w:type="dxa"/>
            <w:shd w:val="clear" w:color="auto" w:fill="auto"/>
          </w:tcPr>
          <w:p w14:paraId="429C3B79" w14:textId="77777777" w:rsidR="00CC36AC" w:rsidRPr="0001245F" w:rsidRDefault="00CC36AC" w:rsidP="003F2BB5">
            <w:pPr>
              <w:pStyle w:val="BodyText"/>
              <w:ind w:left="90" w:right="170"/>
              <w:jc w:val="both"/>
            </w:pPr>
            <w:r w:rsidRPr="0001245F">
              <w:t xml:space="preserve">IS 14700 (Part 6/Sec 2) : 2019/ IEC 61000-6-2 : 2016 Electromagnetic compatibility </w:t>
            </w:r>
            <w:r w:rsidR="003F2BB5">
              <w:t>(EMC</w:t>
            </w:r>
            <w:r w:rsidRPr="0001245F">
              <w:t>) Part 6 Generic standards Section 2 Immunity standard for industrial environments (</w:t>
            </w:r>
            <w:r w:rsidRPr="0001245F">
              <w:rPr>
                <w:i/>
                <w:iCs/>
              </w:rPr>
              <w:t>first revision</w:t>
            </w:r>
            <w:r w:rsidRPr="0001245F">
              <w:t>)</w:t>
            </w:r>
          </w:p>
        </w:tc>
        <w:tc>
          <w:tcPr>
            <w:tcW w:w="2430" w:type="dxa"/>
            <w:shd w:val="clear" w:color="auto" w:fill="auto"/>
          </w:tcPr>
          <w:p w14:paraId="429C3B7A" w14:textId="77777777" w:rsidR="00CC36AC" w:rsidRPr="0001245F" w:rsidRDefault="00CC36AC" w:rsidP="001620AD">
            <w:pPr>
              <w:jc w:val="center"/>
              <w:rPr>
                <w:rFonts w:ascii="Times New Roman" w:hAnsi="Times New Roman" w:cs="Times New Roman"/>
                <w:sz w:val="24"/>
                <w:szCs w:val="24"/>
              </w:rPr>
            </w:pPr>
            <w:r w:rsidRPr="0001245F">
              <w:rPr>
                <w:rFonts w:ascii="Times New Roman" w:hAnsi="Times New Roman" w:cs="Times New Roman"/>
                <w:sz w:val="24"/>
                <w:szCs w:val="24"/>
              </w:rPr>
              <w:t>Identical</w:t>
            </w:r>
          </w:p>
        </w:tc>
      </w:tr>
    </w:tbl>
    <w:p w14:paraId="429C3B7C" w14:textId="77777777" w:rsidR="00CC36AC" w:rsidRDefault="00CC36AC" w:rsidP="00CC36AC">
      <w:pPr>
        <w:pStyle w:val="BodyText"/>
        <w:spacing w:line="244" w:lineRule="auto"/>
        <w:ind w:right="20"/>
        <w:jc w:val="both"/>
      </w:pPr>
    </w:p>
    <w:p w14:paraId="429C3B7D" w14:textId="77777777" w:rsidR="00CC36AC" w:rsidRDefault="00CC36AC" w:rsidP="00CC36AC">
      <w:pPr>
        <w:pStyle w:val="BodyText"/>
        <w:jc w:val="both"/>
      </w:pPr>
      <w:r w:rsidRPr="009433F3">
        <w:t>The technical committee has reviewed the provision of the following International Standard referred in this adopted standard and has decided that it is acceptable for use</w:t>
      </w:r>
      <w:r>
        <w:t xml:space="preserve"> </w:t>
      </w:r>
      <w:r w:rsidRPr="009433F3">
        <w:t>in conjunction with this standard:</w:t>
      </w:r>
    </w:p>
    <w:p w14:paraId="429C3B7E" w14:textId="77777777" w:rsidR="00CC36AC" w:rsidRPr="009433F3" w:rsidRDefault="00CC36AC" w:rsidP="00CC36AC">
      <w:pPr>
        <w:pStyle w:val="BodyText"/>
        <w:jc w:val="both"/>
      </w:pPr>
    </w:p>
    <w:tbl>
      <w:tblPr>
        <w:tblStyle w:val="TableGrid"/>
        <w:tblW w:w="9000" w:type="dxa"/>
        <w:tblInd w:w="108" w:type="dxa"/>
        <w:tblLook w:val="04A0" w:firstRow="1" w:lastRow="0" w:firstColumn="1" w:lastColumn="0" w:noHBand="0" w:noVBand="1"/>
      </w:tblPr>
      <w:tblGrid>
        <w:gridCol w:w="2700"/>
        <w:gridCol w:w="6300"/>
      </w:tblGrid>
      <w:tr w:rsidR="00CC36AC" w:rsidRPr="009433F3" w14:paraId="429C3B81" w14:textId="77777777" w:rsidTr="007013D8">
        <w:trPr>
          <w:trHeight w:val="323"/>
        </w:trPr>
        <w:tc>
          <w:tcPr>
            <w:tcW w:w="2700" w:type="dxa"/>
          </w:tcPr>
          <w:p w14:paraId="429C3B7F" w14:textId="77777777" w:rsidR="00CC36AC" w:rsidRPr="008F1D16" w:rsidRDefault="00CC36AC" w:rsidP="001620AD">
            <w:pPr>
              <w:pStyle w:val="BodyText"/>
              <w:jc w:val="center"/>
              <w:rPr>
                <w:i/>
                <w:iCs/>
              </w:rPr>
            </w:pPr>
            <w:r w:rsidRPr="008F1D16">
              <w:rPr>
                <w:i/>
                <w:iCs/>
              </w:rPr>
              <w:t>International Standard</w:t>
            </w:r>
          </w:p>
        </w:tc>
        <w:tc>
          <w:tcPr>
            <w:tcW w:w="6300" w:type="dxa"/>
          </w:tcPr>
          <w:p w14:paraId="429C3B80" w14:textId="77777777" w:rsidR="00CC36AC" w:rsidRPr="008F1D16" w:rsidRDefault="00CC36AC" w:rsidP="001620AD">
            <w:pPr>
              <w:pStyle w:val="BodyText"/>
              <w:jc w:val="center"/>
              <w:rPr>
                <w:i/>
                <w:iCs/>
              </w:rPr>
            </w:pPr>
            <w:r w:rsidRPr="008F1D16">
              <w:rPr>
                <w:i/>
                <w:iCs/>
              </w:rPr>
              <w:t>Title</w:t>
            </w:r>
          </w:p>
        </w:tc>
      </w:tr>
      <w:tr w:rsidR="00CC36AC" w:rsidRPr="009433F3" w14:paraId="429C3B84" w14:textId="77777777" w:rsidTr="007013D8">
        <w:trPr>
          <w:trHeight w:val="323"/>
        </w:trPr>
        <w:tc>
          <w:tcPr>
            <w:tcW w:w="2700" w:type="dxa"/>
          </w:tcPr>
          <w:p w14:paraId="429C3B82" w14:textId="77777777" w:rsidR="00CC36AC" w:rsidRPr="009C4EAA" w:rsidRDefault="00CC36AC" w:rsidP="001620AD">
            <w:pPr>
              <w:pStyle w:val="BodyText"/>
            </w:pPr>
            <w:r>
              <w:t>IEC 60050-551-20:2001</w:t>
            </w:r>
          </w:p>
        </w:tc>
        <w:tc>
          <w:tcPr>
            <w:tcW w:w="6300" w:type="dxa"/>
          </w:tcPr>
          <w:p w14:paraId="429C3B83" w14:textId="77777777" w:rsidR="00CC36AC" w:rsidRPr="009C4EAA" w:rsidRDefault="00CC36AC" w:rsidP="001620AD">
            <w:pPr>
              <w:pStyle w:val="BodyText"/>
              <w:jc w:val="both"/>
            </w:pPr>
            <w:r>
              <w:t>International Electrotechnical Vocabulary (IEV) – Part 551-20: Power electronics – Harmonic analysis</w:t>
            </w:r>
          </w:p>
        </w:tc>
      </w:tr>
      <w:tr w:rsidR="00CC36AC" w:rsidRPr="009433F3" w14:paraId="429C3B87" w14:textId="77777777" w:rsidTr="007013D8">
        <w:trPr>
          <w:trHeight w:val="632"/>
        </w:trPr>
        <w:tc>
          <w:tcPr>
            <w:tcW w:w="2700" w:type="dxa"/>
          </w:tcPr>
          <w:p w14:paraId="429C3B85" w14:textId="77777777" w:rsidR="00CC36AC" w:rsidRDefault="00CC36AC" w:rsidP="001620AD">
            <w:pPr>
              <w:pStyle w:val="BodyText"/>
            </w:pPr>
            <w:r>
              <w:t>IEC 61000-2-4:2002</w:t>
            </w:r>
          </w:p>
        </w:tc>
        <w:tc>
          <w:tcPr>
            <w:tcW w:w="6300" w:type="dxa"/>
          </w:tcPr>
          <w:p w14:paraId="429C3B86" w14:textId="77777777" w:rsidR="00CC36AC" w:rsidRDefault="00CC36AC" w:rsidP="001620AD">
            <w:pPr>
              <w:pStyle w:val="BodyText"/>
              <w:jc w:val="both"/>
            </w:pPr>
            <w:r>
              <w:t>Electromagnetic compatibility (EMC) – Part 2-4: Environment – Compatibility levels in industrial plants for low-frequency conducted disturbances</w:t>
            </w:r>
          </w:p>
        </w:tc>
      </w:tr>
      <w:tr w:rsidR="00CC36AC" w:rsidRPr="009433F3" w14:paraId="429C3B8A" w14:textId="77777777" w:rsidTr="007013D8">
        <w:trPr>
          <w:trHeight w:val="323"/>
        </w:trPr>
        <w:tc>
          <w:tcPr>
            <w:tcW w:w="2700" w:type="dxa"/>
          </w:tcPr>
          <w:p w14:paraId="429C3B88" w14:textId="77777777" w:rsidR="00CC36AC" w:rsidRDefault="00CC36AC" w:rsidP="001620AD">
            <w:pPr>
              <w:pStyle w:val="BodyText"/>
            </w:pPr>
            <w:r>
              <w:t>IEC 61000-3-12:2011</w:t>
            </w:r>
          </w:p>
        </w:tc>
        <w:tc>
          <w:tcPr>
            <w:tcW w:w="6300" w:type="dxa"/>
          </w:tcPr>
          <w:p w14:paraId="429C3B89" w14:textId="77777777" w:rsidR="00CC36AC" w:rsidRDefault="00CC36AC" w:rsidP="001620AD">
            <w:pPr>
              <w:pStyle w:val="BodyText"/>
              <w:jc w:val="both"/>
            </w:pPr>
            <w:r>
              <w:t>Electromagnetic compatibility (EMC) – Part 3-12: Limits – Limits for harmonic currents produced by equipment connected to public low-voltage systems with input current ≤16 A and ≤ 75 A per phase</w:t>
            </w:r>
          </w:p>
        </w:tc>
      </w:tr>
      <w:tr w:rsidR="00152917" w:rsidRPr="009433F3" w14:paraId="429C3B8D" w14:textId="77777777" w:rsidTr="007013D8">
        <w:trPr>
          <w:trHeight w:val="323"/>
        </w:trPr>
        <w:tc>
          <w:tcPr>
            <w:tcW w:w="2700" w:type="dxa"/>
          </w:tcPr>
          <w:p w14:paraId="429C3B8B" w14:textId="77777777" w:rsidR="00152917" w:rsidRDefault="00152917" w:rsidP="001620AD">
            <w:pPr>
              <w:pStyle w:val="BodyText"/>
            </w:pPr>
            <w:r w:rsidRPr="0001245F">
              <w:t>IEC 61000-6-4:2018</w:t>
            </w:r>
          </w:p>
        </w:tc>
        <w:tc>
          <w:tcPr>
            <w:tcW w:w="6300" w:type="dxa"/>
          </w:tcPr>
          <w:p w14:paraId="429C3B8C" w14:textId="77777777" w:rsidR="00152917" w:rsidRDefault="00152917" w:rsidP="001620AD">
            <w:pPr>
              <w:pStyle w:val="BodyText"/>
              <w:jc w:val="both"/>
            </w:pPr>
            <w:r w:rsidRPr="0001245F">
              <w:t>Electromagnetic compatibility (EMC) – Part 6-4: Generic standards – Emission standard for industrial environments</w:t>
            </w:r>
          </w:p>
        </w:tc>
      </w:tr>
      <w:tr w:rsidR="00CC36AC" w:rsidRPr="009433F3" w14:paraId="429C3B90" w14:textId="77777777" w:rsidTr="007013D8">
        <w:trPr>
          <w:trHeight w:val="323"/>
        </w:trPr>
        <w:tc>
          <w:tcPr>
            <w:tcW w:w="2700" w:type="dxa"/>
          </w:tcPr>
          <w:p w14:paraId="429C3B8E" w14:textId="77777777" w:rsidR="00CC36AC" w:rsidRDefault="00CC36AC" w:rsidP="001620AD">
            <w:pPr>
              <w:pStyle w:val="BodyText"/>
            </w:pPr>
            <w:r>
              <w:t>IEC 61378-1:2011</w:t>
            </w:r>
          </w:p>
        </w:tc>
        <w:tc>
          <w:tcPr>
            <w:tcW w:w="6300" w:type="dxa"/>
          </w:tcPr>
          <w:p w14:paraId="429C3B8F" w14:textId="77777777" w:rsidR="00CC36AC" w:rsidRDefault="00CC36AC" w:rsidP="001620AD">
            <w:pPr>
              <w:pStyle w:val="BodyText"/>
              <w:jc w:val="both"/>
            </w:pPr>
            <w:r>
              <w:t>Converter transformers – Part 1: Transformers for industrial applications</w:t>
            </w:r>
          </w:p>
        </w:tc>
      </w:tr>
      <w:tr w:rsidR="00CC36AC" w:rsidRPr="009433F3" w14:paraId="429C3B93" w14:textId="77777777" w:rsidTr="007013D8">
        <w:trPr>
          <w:trHeight w:val="323"/>
        </w:trPr>
        <w:tc>
          <w:tcPr>
            <w:tcW w:w="2700" w:type="dxa"/>
          </w:tcPr>
          <w:p w14:paraId="429C3B91" w14:textId="77777777" w:rsidR="00CC36AC" w:rsidRDefault="00CC36AC" w:rsidP="001620AD">
            <w:pPr>
              <w:pStyle w:val="BodyText"/>
            </w:pPr>
            <w:r>
              <w:t>IEC 62477-1:2022</w:t>
            </w:r>
          </w:p>
        </w:tc>
        <w:tc>
          <w:tcPr>
            <w:tcW w:w="6300" w:type="dxa"/>
          </w:tcPr>
          <w:p w14:paraId="429C3B92" w14:textId="77777777" w:rsidR="00CC36AC" w:rsidRDefault="00CC36AC" w:rsidP="001620AD">
            <w:pPr>
              <w:pStyle w:val="BodyText"/>
              <w:jc w:val="both"/>
            </w:pPr>
            <w:r>
              <w:t>Safety requirements for power electronic converter systems and equipment – Part 1: General</w:t>
            </w:r>
          </w:p>
        </w:tc>
      </w:tr>
      <w:tr w:rsidR="00CC36AC" w:rsidRPr="009433F3" w14:paraId="429C3B96" w14:textId="77777777" w:rsidTr="007013D8">
        <w:trPr>
          <w:trHeight w:val="323"/>
        </w:trPr>
        <w:tc>
          <w:tcPr>
            <w:tcW w:w="2700" w:type="dxa"/>
          </w:tcPr>
          <w:p w14:paraId="429C3B94" w14:textId="77777777" w:rsidR="00CC36AC" w:rsidRDefault="00CC36AC" w:rsidP="001620AD">
            <w:pPr>
              <w:pStyle w:val="BodyText"/>
            </w:pPr>
            <w:r>
              <w:lastRenderedPageBreak/>
              <w:t>IEC 62477-2:2018</w:t>
            </w:r>
          </w:p>
        </w:tc>
        <w:tc>
          <w:tcPr>
            <w:tcW w:w="6300" w:type="dxa"/>
          </w:tcPr>
          <w:p w14:paraId="429C3B95" w14:textId="77777777" w:rsidR="00CC36AC" w:rsidRDefault="00CC36AC" w:rsidP="001620AD">
            <w:pPr>
              <w:pStyle w:val="BodyText"/>
              <w:jc w:val="both"/>
            </w:pPr>
            <w:r>
              <w:t>Safety requirements for power electronic converter systems and equipment – Part 2: Power electronic converters from 1 000 V AC or 1 500 V DC up to 36 kV AC or 54 kV DC</w:t>
            </w:r>
          </w:p>
        </w:tc>
      </w:tr>
    </w:tbl>
    <w:p w14:paraId="429C3B97" w14:textId="77777777" w:rsidR="00CC36AC" w:rsidRDefault="00CC36AC" w:rsidP="00CC36AC">
      <w:pPr>
        <w:pStyle w:val="BodyText"/>
        <w:spacing w:line="244" w:lineRule="auto"/>
        <w:ind w:right="20"/>
        <w:jc w:val="both"/>
      </w:pPr>
    </w:p>
    <w:p w14:paraId="429C3B98" w14:textId="77777777" w:rsidR="007013D8" w:rsidRDefault="00CC36AC" w:rsidP="00702ACD">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429C3B99" w14:textId="77777777" w:rsidR="007013D8" w:rsidRDefault="007013D8" w:rsidP="00702ACD">
      <w:pPr>
        <w:pStyle w:val="BodyText"/>
        <w:spacing w:line="244" w:lineRule="auto"/>
        <w:ind w:right="20"/>
        <w:jc w:val="both"/>
      </w:pPr>
    </w:p>
    <w:p w14:paraId="429C3B9A" w14:textId="77777777" w:rsidR="00340C1C" w:rsidRDefault="00CC36AC" w:rsidP="00702ACD">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sectPr w:rsidR="00340C1C" w:rsidSect="00107C8A">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52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0C4A"/>
    <w:rsid w:val="0000651C"/>
    <w:rsid w:val="0001245F"/>
    <w:rsid w:val="00032A06"/>
    <w:rsid w:val="00034B8A"/>
    <w:rsid w:val="000377BC"/>
    <w:rsid w:val="0005056B"/>
    <w:rsid w:val="00054908"/>
    <w:rsid w:val="00057CFA"/>
    <w:rsid w:val="00080BDB"/>
    <w:rsid w:val="00087E94"/>
    <w:rsid w:val="000A2223"/>
    <w:rsid w:val="000C48A0"/>
    <w:rsid w:val="000D21EF"/>
    <w:rsid w:val="00107C8A"/>
    <w:rsid w:val="001201ED"/>
    <w:rsid w:val="0012621B"/>
    <w:rsid w:val="0014272F"/>
    <w:rsid w:val="0014366C"/>
    <w:rsid w:val="00152917"/>
    <w:rsid w:val="00155F05"/>
    <w:rsid w:val="001610BE"/>
    <w:rsid w:val="001A72DC"/>
    <w:rsid w:val="001A74EA"/>
    <w:rsid w:val="001B70DF"/>
    <w:rsid w:val="001C288C"/>
    <w:rsid w:val="001D2EF4"/>
    <w:rsid w:val="001D741D"/>
    <w:rsid w:val="001E2A19"/>
    <w:rsid w:val="001E7562"/>
    <w:rsid w:val="00223306"/>
    <w:rsid w:val="00224C8C"/>
    <w:rsid w:val="00240975"/>
    <w:rsid w:val="00252F90"/>
    <w:rsid w:val="00270C4A"/>
    <w:rsid w:val="00276458"/>
    <w:rsid w:val="00280D7D"/>
    <w:rsid w:val="002D44BB"/>
    <w:rsid w:val="00306191"/>
    <w:rsid w:val="003171D6"/>
    <w:rsid w:val="00317D60"/>
    <w:rsid w:val="003257BC"/>
    <w:rsid w:val="00340C1C"/>
    <w:rsid w:val="00355B47"/>
    <w:rsid w:val="0035735E"/>
    <w:rsid w:val="00364A9F"/>
    <w:rsid w:val="003B4E76"/>
    <w:rsid w:val="003D4481"/>
    <w:rsid w:val="003F2BB5"/>
    <w:rsid w:val="003F5070"/>
    <w:rsid w:val="0042250B"/>
    <w:rsid w:val="004306D1"/>
    <w:rsid w:val="00435146"/>
    <w:rsid w:val="00475867"/>
    <w:rsid w:val="004A6C85"/>
    <w:rsid w:val="004B1677"/>
    <w:rsid w:val="004E7D94"/>
    <w:rsid w:val="004F26C0"/>
    <w:rsid w:val="004F3A8C"/>
    <w:rsid w:val="00505200"/>
    <w:rsid w:val="00530BA5"/>
    <w:rsid w:val="005316DB"/>
    <w:rsid w:val="0054035B"/>
    <w:rsid w:val="0055037A"/>
    <w:rsid w:val="00550662"/>
    <w:rsid w:val="00593EF3"/>
    <w:rsid w:val="005A079E"/>
    <w:rsid w:val="005C216F"/>
    <w:rsid w:val="005F4125"/>
    <w:rsid w:val="0062736F"/>
    <w:rsid w:val="00667F5B"/>
    <w:rsid w:val="00696258"/>
    <w:rsid w:val="00697585"/>
    <w:rsid w:val="006E6B10"/>
    <w:rsid w:val="006F7747"/>
    <w:rsid w:val="007013D8"/>
    <w:rsid w:val="00702A01"/>
    <w:rsid w:val="00702ACD"/>
    <w:rsid w:val="00757252"/>
    <w:rsid w:val="007615D2"/>
    <w:rsid w:val="00763731"/>
    <w:rsid w:val="00783463"/>
    <w:rsid w:val="007A7DAE"/>
    <w:rsid w:val="007C0124"/>
    <w:rsid w:val="007C0ADA"/>
    <w:rsid w:val="007C3C81"/>
    <w:rsid w:val="00834B82"/>
    <w:rsid w:val="00866A85"/>
    <w:rsid w:val="008758DE"/>
    <w:rsid w:val="00876A9C"/>
    <w:rsid w:val="008A5413"/>
    <w:rsid w:val="008C2550"/>
    <w:rsid w:val="008C3F34"/>
    <w:rsid w:val="008D1E29"/>
    <w:rsid w:val="00914A2C"/>
    <w:rsid w:val="009371E0"/>
    <w:rsid w:val="009B4E58"/>
    <w:rsid w:val="009D4DDE"/>
    <w:rsid w:val="009E1820"/>
    <w:rsid w:val="009E1F20"/>
    <w:rsid w:val="00A06D2C"/>
    <w:rsid w:val="00A15353"/>
    <w:rsid w:val="00A27F6F"/>
    <w:rsid w:val="00A30B49"/>
    <w:rsid w:val="00A41E89"/>
    <w:rsid w:val="00A5076F"/>
    <w:rsid w:val="00A5176E"/>
    <w:rsid w:val="00A56645"/>
    <w:rsid w:val="00A66C0C"/>
    <w:rsid w:val="00A70ECA"/>
    <w:rsid w:val="00A84113"/>
    <w:rsid w:val="00A87402"/>
    <w:rsid w:val="00A93E76"/>
    <w:rsid w:val="00AF60DE"/>
    <w:rsid w:val="00B103A9"/>
    <w:rsid w:val="00B33815"/>
    <w:rsid w:val="00B616F9"/>
    <w:rsid w:val="00B86E45"/>
    <w:rsid w:val="00B972CC"/>
    <w:rsid w:val="00BA5536"/>
    <w:rsid w:val="00BB3FA8"/>
    <w:rsid w:val="00C03606"/>
    <w:rsid w:val="00C23080"/>
    <w:rsid w:val="00C7624E"/>
    <w:rsid w:val="00C90322"/>
    <w:rsid w:val="00C913AA"/>
    <w:rsid w:val="00CA5CB1"/>
    <w:rsid w:val="00CC36AC"/>
    <w:rsid w:val="00CC3B9F"/>
    <w:rsid w:val="00CC552B"/>
    <w:rsid w:val="00CE404B"/>
    <w:rsid w:val="00CF398E"/>
    <w:rsid w:val="00CF64F3"/>
    <w:rsid w:val="00D057B0"/>
    <w:rsid w:val="00D110BD"/>
    <w:rsid w:val="00D14449"/>
    <w:rsid w:val="00D42B6F"/>
    <w:rsid w:val="00D51CA5"/>
    <w:rsid w:val="00D63151"/>
    <w:rsid w:val="00D92A17"/>
    <w:rsid w:val="00DB759F"/>
    <w:rsid w:val="00DB7BF8"/>
    <w:rsid w:val="00DD746B"/>
    <w:rsid w:val="00DE0D17"/>
    <w:rsid w:val="00E40E7E"/>
    <w:rsid w:val="00E42F5C"/>
    <w:rsid w:val="00E52732"/>
    <w:rsid w:val="00E56A3A"/>
    <w:rsid w:val="00E76159"/>
    <w:rsid w:val="00EB6EDF"/>
    <w:rsid w:val="00EC62E3"/>
    <w:rsid w:val="00F001AF"/>
    <w:rsid w:val="00F14BB8"/>
    <w:rsid w:val="00F36215"/>
    <w:rsid w:val="00F574DE"/>
    <w:rsid w:val="00F62189"/>
    <w:rsid w:val="00F62D85"/>
    <w:rsid w:val="00F71BDB"/>
    <w:rsid w:val="00F8060D"/>
    <w:rsid w:val="00F81EB3"/>
    <w:rsid w:val="00FA2A56"/>
    <w:rsid w:val="00FA496E"/>
    <w:rsid w:val="00FB3735"/>
    <w:rsid w:val="00FF3B4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29C3B31"/>
  <w15:docId w15:val="{7C0ACBF0-A972-4FBF-A7E6-732226D8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alloonText">
    <w:name w:val="Balloon Text"/>
    <w:basedOn w:val="Normal"/>
    <w:link w:val="BalloonTextChar"/>
    <w:uiPriority w:val="99"/>
    <w:semiHidden/>
    <w:unhideWhenUsed/>
    <w:rsid w:val="00A2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6F"/>
    <w:rPr>
      <w:rFonts w:ascii="Tahoma" w:eastAsiaTheme="minorEastAsia" w:hAnsi="Tahoma" w:cs="Tahoma"/>
      <w:sz w:val="16"/>
      <w:szCs w:val="16"/>
      <w:lang w:bidi="ar-SA"/>
    </w:rPr>
  </w:style>
  <w:style w:type="paragraph" w:styleId="BodyText">
    <w:name w:val="Body Text"/>
    <w:basedOn w:val="Normal"/>
    <w:link w:val="BodyTextChar"/>
    <w:uiPriority w:val="1"/>
    <w:qFormat/>
    <w:rsid w:val="00A27F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27F6F"/>
    <w:rPr>
      <w:rFonts w:ascii="Times New Roman" w:eastAsia="Times New Roman" w:hAnsi="Times New Roman" w:cs="Times New Roman"/>
      <w:sz w:val="24"/>
      <w:szCs w:val="24"/>
      <w:lang w:bidi="ar-SA"/>
    </w:rPr>
  </w:style>
  <w:style w:type="table" w:styleId="TableGrid">
    <w:name w:val="Table Grid"/>
    <w:basedOn w:val="TableNormal"/>
    <w:uiPriority w:val="39"/>
    <w:rsid w:val="00A27F6F"/>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ndardsbis.in" TargetMode="External"/><Relationship Id="rId4" Type="http://schemas.openxmlformats.org/officeDocument/2006/relationships/settings" Target="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C1556-FEA9-4D48-9537-3B04FAB4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Jatin Tiwari</cp:lastModifiedBy>
  <cp:revision>34</cp:revision>
  <dcterms:created xsi:type="dcterms:W3CDTF">2024-12-13T06:27:00Z</dcterms:created>
  <dcterms:modified xsi:type="dcterms:W3CDTF">2024-12-17T10:34:00Z</dcterms:modified>
</cp:coreProperties>
</file>