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F9B" w:rsidRDefault="00237272" w:rsidP="00A07A29">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w:pict>
          <v:shapetype id="_x0000_t202" coordsize="21600,21600" o:spt="202" path="m,l,21600r21600,l21600,xe">
            <v:stroke joinstyle="miter"/>
            <v:path gradientshapeok="t" o:connecttype="rect"/>
          </v:shapetype>
          <v:shape id="Text Box 20" o:spid="_x0000_s1026" type="#_x0000_t202" style="position:absolute;left:0;text-align:left;margin-left:106.45pt;margin-top:-1.5pt;width:123pt;height:5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style="mso-next-textbox:#Text Box 20">
              <w:txbxContent>
                <w:p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rsidR="00270C4A" w:rsidRPr="00C536D7" w:rsidRDefault="00270C4A" w:rsidP="00270C4A">
                  <w:pPr>
                    <w:spacing w:after="0"/>
                    <w:rPr>
                      <w:b/>
                      <w:i/>
                    </w:rPr>
                  </w:pPr>
                </w:p>
              </w:txbxContent>
            </v:textbox>
          </v:shape>
        </w:pict>
      </w:r>
      <w:r w:rsidR="00F77F04">
        <w:rPr>
          <w:rFonts w:ascii="Segoe UI" w:hAnsi="Segoe UI" w:cs="Segoe UI"/>
          <w:b/>
          <w:bCs/>
          <w:color w:val="000000"/>
          <w:shd w:val="clear" w:color="auto" w:fill="FFFFFF"/>
        </w:rPr>
        <w:t xml:space="preserve">  </w:t>
      </w:r>
      <w:r w:rsidR="00504F9B">
        <w:rPr>
          <w:rFonts w:ascii="Segoe UI" w:hAnsi="Segoe UI" w:cs="Segoe UI"/>
          <w:b/>
          <w:bCs/>
          <w:color w:val="000000"/>
          <w:shd w:val="clear" w:color="auto" w:fill="FFFFFF"/>
        </w:rPr>
        <w:t>IS 17123 (Part 2): 2024</w:t>
      </w:r>
    </w:p>
    <w:p w:rsidR="00270C4A" w:rsidRDefault="00504F9B" w:rsidP="00A07A29">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F77F04">
        <w:rPr>
          <w:rFonts w:ascii="Arial" w:eastAsia="Times New Roman" w:hAnsi="Arial" w:cs="Arial"/>
          <w:b/>
          <w:color w:val="000000"/>
          <w:sz w:val="24"/>
          <w:szCs w:val="24"/>
          <w:lang w:val="fr-FR"/>
        </w:rPr>
        <w:t xml:space="preserve">  </w:t>
      </w:r>
      <w:r w:rsidR="00A07A29">
        <w:rPr>
          <w:rFonts w:ascii="Arial" w:eastAsia="Times New Roman" w:hAnsi="Arial" w:cs="Arial"/>
          <w:b/>
          <w:color w:val="000000"/>
          <w:sz w:val="24"/>
          <w:szCs w:val="24"/>
          <w:lang w:val="fr-FR"/>
        </w:rPr>
        <w:t>IEC 61800-2 : 2021</w:t>
      </w:r>
    </w:p>
    <w:p w:rsidR="00F77F04" w:rsidRPr="00F77F04" w:rsidRDefault="00CE3F4F" w:rsidP="00F77F04">
      <w:pPr>
        <w:autoSpaceDE w:val="0"/>
        <w:autoSpaceDN w:val="0"/>
        <w:adjustRightInd w:val="0"/>
        <w:spacing w:before="120" w:after="120" w:line="240" w:lineRule="auto"/>
        <w:ind w:right="74"/>
        <w:jc w:val="right"/>
        <w:rPr>
          <w:rFonts w:ascii="Arial" w:hAnsi="Arial" w:cs="Arial"/>
          <w:i/>
          <w:iCs/>
          <w:sz w:val="24"/>
          <w:szCs w:val="24"/>
        </w:rPr>
      </w:pPr>
      <w:r>
        <w:rPr>
          <w:rFonts w:ascii="Arial" w:hAnsi="Arial" w:cs="Arial"/>
          <w:i/>
          <w:iCs/>
          <w:sz w:val="24"/>
          <w:szCs w:val="24"/>
        </w:rPr>
        <w:t>Superseding</w:t>
      </w:r>
      <w:r w:rsidR="00760A21" w:rsidRPr="00760A21">
        <w:rPr>
          <w:rFonts w:ascii="Arial" w:hAnsi="Arial" w:cs="Arial"/>
          <w:i/>
          <w:iCs/>
          <w:sz w:val="24"/>
          <w:szCs w:val="24"/>
        </w:rPr>
        <w:t xml:space="preserve"> </w:t>
      </w:r>
      <w:r w:rsidR="00F77F04" w:rsidRPr="00F77F04">
        <w:rPr>
          <w:rFonts w:ascii="Arial" w:hAnsi="Arial" w:cs="Arial"/>
          <w:i/>
          <w:iCs/>
          <w:sz w:val="24"/>
          <w:szCs w:val="24"/>
        </w:rPr>
        <w:t>IS/IEC 61800 (Part 2): 2015</w:t>
      </w:r>
    </w:p>
    <w:p w:rsidR="00A16896" w:rsidRDefault="00F77F04" w:rsidP="00F77F04">
      <w:pPr>
        <w:autoSpaceDE w:val="0"/>
        <w:autoSpaceDN w:val="0"/>
        <w:adjustRightInd w:val="0"/>
        <w:spacing w:before="120" w:after="120" w:line="240" w:lineRule="auto"/>
        <w:ind w:left="5040" w:right="74" w:firstLine="720"/>
        <w:jc w:val="center"/>
        <w:rPr>
          <w:rFonts w:ascii="Arial" w:hAnsi="Arial" w:cs="Arial"/>
          <w:i/>
          <w:iCs/>
          <w:sz w:val="24"/>
          <w:szCs w:val="24"/>
        </w:rPr>
      </w:pPr>
      <w:r>
        <w:rPr>
          <w:rFonts w:ascii="Arial" w:hAnsi="Arial" w:cs="Arial"/>
          <w:i/>
          <w:iCs/>
          <w:sz w:val="24"/>
          <w:szCs w:val="24"/>
        </w:rPr>
        <w:t xml:space="preserve">  </w:t>
      </w:r>
      <w:r w:rsidR="00760A21" w:rsidRPr="00760A21">
        <w:rPr>
          <w:rFonts w:ascii="Arial" w:hAnsi="Arial" w:cs="Arial"/>
          <w:i/>
          <w:iCs/>
          <w:sz w:val="24"/>
          <w:szCs w:val="24"/>
        </w:rPr>
        <w:t>IS/IEC 61800 (Part 4): 2002</w:t>
      </w:r>
    </w:p>
    <w:p w:rsidR="00270C4A" w:rsidRPr="00CF4653" w:rsidRDefault="00237272" w:rsidP="00A16896">
      <w:pPr>
        <w:autoSpaceDE w:val="0"/>
        <w:autoSpaceDN w:val="0"/>
        <w:adjustRightInd w:val="0"/>
        <w:spacing w:before="120" w:after="120" w:line="240" w:lineRule="auto"/>
        <w:ind w:right="74"/>
        <w:jc w:val="right"/>
        <w:rPr>
          <w:rFonts w:ascii="Arial" w:hAnsi="Arial" w:cs="Arial"/>
          <w:sz w:val="24"/>
          <w:szCs w:val="24"/>
        </w:rPr>
      </w:pPr>
      <w:r>
        <w:rPr>
          <w:rFonts w:ascii="Arial" w:hAnsi="Arial" w:cs="Arial"/>
          <w:noProof/>
          <w:position w:val="-1"/>
          <w:sz w:val="10"/>
          <w:lang w:bidi="hi-IN"/>
        </w:rPr>
      </w:r>
      <w:r>
        <w:rPr>
          <w:rFonts w:ascii="Arial" w:hAnsi="Arial" w:cs="Arial"/>
          <w:noProof/>
          <w:position w:val="-1"/>
          <w:sz w:val="10"/>
          <w:lang w:bidi="hi-IN"/>
        </w:rPr>
        <w:pict>
          <v:group id="Group 8" o:spid="_x0000_s1035" style="width:334.8pt;height:4.5pt;mso-position-horizontal-relative:char;mso-position-vertical-relative:line" coordsize="6347,100">
            <v:line id="Line 9" o:spid="_x0000_s102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none"/>
            <w10:anchorlock/>
          </v:group>
        </w:pict>
      </w:r>
    </w:p>
    <w:p w:rsidR="00270C4A" w:rsidRPr="004D184C" w:rsidRDefault="00270C4A" w:rsidP="00A07A29">
      <w:pPr>
        <w:widowControl w:val="0"/>
        <w:tabs>
          <w:tab w:val="left" w:pos="426"/>
        </w:tabs>
        <w:autoSpaceDE w:val="0"/>
        <w:autoSpaceDN w:val="0"/>
        <w:adjustRightInd w:val="0"/>
        <w:spacing w:before="120" w:after="120" w:line="240" w:lineRule="auto"/>
        <w:ind w:left="2520"/>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CC5D7C" w:rsidRPr="002D44BB" w:rsidRDefault="008B6642" w:rsidP="008B6642">
      <w:pPr>
        <w:widowControl w:val="0"/>
        <w:tabs>
          <w:tab w:val="left" w:pos="426"/>
        </w:tabs>
        <w:autoSpaceDE w:val="0"/>
        <w:autoSpaceDN w:val="0"/>
        <w:adjustRightInd w:val="0"/>
        <w:spacing w:before="120" w:after="120" w:line="240" w:lineRule="auto"/>
        <w:ind w:right="29"/>
        <w:rPr>
          <w:rFonts w:ascii="Kokila" w:eastAsia="Times New Roman" w:hAnsi="Kokila" w:cs="Kokila"/>
          <w:b/>
          <w:bCs/>
          <w:i/>
          <w:color w:val="222222"/>
          <w:sz w:val="52"/>
          <w:szCs w:val="52"/>
          <w:rtl/>
        </w:rPr>
      </w:pPr>
      <w:r>
        <w:rPr>
          <w:rFonts w:ascii="Kokila" w:eastAsia="Times New Roman" w:hAnsi="Kokila" w:cs="Kokila"/>
          <w:b/>
          <w:bCs/>
          <w:i/>
          <w:color w:val="222222"/>
          <w:sz w:val="52"/>
          <w:szCs w:val="52"/>
          <w:lang w:bidi="hi-IN"/>
        </w:rPr>
        <w:t xml:space="preserve">                       </w:t>
      </w:r>
      <w:r w:rsidR="00CC5D7C" w:rsidRPr="002D44BB">
        <w:rPr>
          <w:rFonts w:ascii="Kokila" w:eastAsia="Times New Roman" w:hAnsi="Kokila" w:cs="Kokila"/>
          <w:b/>
          <w:bCs/>
          <w:i/>
          <w:color w:val="222222"/>
          <w:sz w:val="52"/>
          <w:szCs w:val="52"/>
          <w:cs/>
          <w:lang w:bidi="hi-IN"/>
        </w:rPr>
        <w:t>समायोज्य</w:t>
      </w:r>
      <w:r w:rsidR="00CC5D7C" w:rsidRPr="002D44BB">
        <w:rPr>
          <w:rFonts w:ascii="Kokila" w:eastAsia="Times New Roman" w:hAnsi="Kokila" w:cs="Kokila"/>
          <w:b/>
          <w:bCs/>
          <w:i/>
          <w:color w:val="222222"/>
          <w:sz w:val="52"/>
          <w:szCs w:val="52"/>
          <w:lang w:bidi="hi-IN"/>
        </w:rPr>
        <w:t xml:space="preserve"> </w:t>
      </w:r>
      <w:r w:rsidR="00CC5D7C" w:rsidRPr="002D44BB">
        <w:rPr>
          <w:rFonts w:ascii="Kokila" w:eastAsia="Times New Roman" w:hAnsi="Kokila" w:cs="Kokila"/>
          <w:b/>
          <w:bCs/>
          <w:i/>
          <w:color w:val="222222"/>
          <w:sz w:val="52"/>
          <w:szCs w:val="52"/>
          <w:cs/>
          <w:lang w:bidi="hi-IN"/>
        </w:rPr>
        <w:t>चाल</w:t>
      </w:r>
      <w:r w:rsidR="00CC5D7C" w:rsidRPr="002D44BB">
        <w:rPr>
          <w:rFonts w:ascii="Kokila" w:eastAsia="Times New Roman" w:hAnsi="Kokila" w:cs="Kokila"/>
          <w:b/>
          <w:bCs/>
          <w:i/>
          <w:color w:val="222222"/>
          <w:sz w:val="52"/>
          <w:szCs w:val="52"/>
          <w:lang w:bidi="hi-IN"/>
        </w:rPr>
        <w:t xml:space="preserve"> </w:t>
      </w:r>
      <w:r w:rsidR="00CC5D7C" w:rsidRPr="002D44BB">
        <w:rPr>
          <w:rFonts w:ascii="Kokila" w:eastAsia="Times New Roman" w:hAnsi="Kokila" w:cs="Kokila"/>
          <w:b/>
          <w:bCs/>
          <w:i/>
          <w:color w:val="222222"/>
          <w:sz w:val="52"/>
          <w:szCs w:val="52"/>
          <w:cs/>
          <w:lang w:bidi="hi-IN"/>
        </w:rPr>
        <w:t>विद्युतीय</w:t>
      </w:r>
      <w:r w:rsidR="00CC5D7C" w:rsidRPr="002D44BB">
        <w:rPr>
          <w:rFonts w:ascii="Kokila" w:eastAsia="Times New Roman" w:hAnsi="Kokila" w:cs="Kokila"/>
          <w:b/>
          <w:bCs/>
          <w:i/>
          <w:color w:val="222222"/>
          <w:sz w:val="52"/>
          <w:szCs w:val="52"/>
          <w:lang w:bidi="hi-IN"/>
        </w:rPr>
        <w:t xml:space="preserve"> </w:t>
      </w:r>
      <w:r w:rsidR="00CC5D7C" w:rsidRPr="002D44BB">
        <w:rPr>
          <w:rFonts w:ascii="Kokila" w:eastAsia="Times New Roman" w:hAnsi="Kokila" w:cs="Kokila"/>
          <w:b/>
          <w:bCs/>
          <w:i/>
          <w:color w:val="222222"/>
          <w:sz w:val="52"/>
          <w:szCs w:val="52"/>
          <w:cs/>
          <w:lang w:bidi="hi-IN"/>
        </w:rPr>
        <w:t>पावर</w:t>
      </w:r>
      <w:r w:rsidR="00CC5D7C" w:rsidRPr="002D44BB">
        <w:rPr>
          <w:rFonts w:ascii="Kokila" w:eastAsia="Times New Roman" w:hAnsi="Kokila" w:cs="Kokila"/>
          <w:b/>
          <w:bCs/>
          <w:i/>
          <w:color w:val="222222"/>
          <w:sz w:val="52"/>
          <w:szCs w:val="52"/>
          <w:lang w:bidi="hi-IN"/>
        </w:rPr>
        <w:t xml:space="preserve"> </w:t>
      </w:r>
      <w:r w:rsidR="00CC5D7C" w:rsidRPr="002D44BB">
        <w:rPr>
          <w:rFonts w:ascii="Kokila" w:eastAsia="Times New Roman" w:hAnsi="Kokila" w:cs="Kokila"/>
          <w:b/>
          <w:bCs/>
          <w:i/>
          <w:color w:val="222222"/>
          <w:sz w:val="52"/>
          <w:szCs w:val="52"/>
          <w:cs/>
          <w:lang w:bidi="hi-IN"/>
        </w:rPr>
        <w:t>ड्राइव</w:t>
      </w:r>
      <w:r w:rsidR="00CC5D7C">
        <w:rPr>
          <w:rFonts w:ascii="Kokila" w:eastAsia="Times New Roman" w:hAnsi="Kokila" w:cs="Kokila"/>
          <w:b/>
          <w:bCs/>
          <w:i/>
          <w:color w:val="222222"/>
          <w:sz w:val="52"/>
          <w:szCs w:val="52"/>
          <w:lang w:bidi="hi-IN"/>
        </w:rPr>
        <w:t xml:space="preserve"> </w:t>
      </w:r>
      <w:r w:rsidR="00CC5D7C" w:rsidRPr="002D44BB">
        <w:rPr>
          <w:rFonts w:ascii="Kokila" w:eastAsia="Times New Roman" w:hAnsi="Kokila" w:cs="Kokila"/>
          <w:b/>
          <w:bCs/>
          <w:i/>
          <w:color w:val="222222"/>
          <w:sz w:val="52"/>
          <w:szCs w:val="52"/>
          <w:cs/>
          <w:lang w:bidi="hi-IN"/>
        </w:rPr>
        <w:t>प्रणाली</w:t>
      </w:r>
    </w:p>
    <w:p w:rsidR="00A07A29" w:rsidRDefault="004661AD" w:rsidP="00A07A29">
      <w:pPr>
        <w:widowControl w:val="0"/>
        <w:tabs>
          <w:tab w:val="left" w:pos="426"/>
        </w:tabs>
        <w:autoSpaceDE w:val="0"/>
        <w:autoSpaceDN w:val="0"/>
        <w:adjustRightInd w:val="0"/>
        <w:spacing w:before="120" w:after="120" w:line="240" w:lineRule="auto"/>
        <w:ind w:left="2520"/>
        <w:jc w:val="center"/>
        <w:rPr>
          <w:rFonts w:ascii="Kokila" w:eastAsia="Times New Roman" w:hAnsi="Kokila" w:cs="Kokila"/>
          <w:b/>
          <w:bCs/>
          <w:i/>
          <w:color w:val="222222"/>
          <w:sz w:val="44"/>
          <w:szCs w:val="44"/>
          <w:lang w:bidi="hi-IN"/>
        </w:rPr>
      </w:pPr>
      <w:r w:rsidRPr="004661AD">
        <w:rPr>
          <w:rFonts w:ascii="Kokila" w:eastAsia="Times New Roman" w:hAnsi="Kokila" w:cs="Kokila"/>
          <w:b/>
          <w:bCs/>
          <w:i/>
          <w:color w:val="222222"/>
          <w:sz w:val="44"/>
          <w:szCs w:val="44"/>
          <w:cs/>
          <w:lang w:bidi="hi-IN"/>
        </w:rPr>
        <w:t xml:space="preserve">भाग </w:t>
      </w:r>
      <w:r w:rsidRPr="00475B0A">
        <w:rPr>
          <w:rFonts w:ascii="Kokila" w:eastAsia="Times New Roman" w:hAnsi="Kokila" w:cs="Kokila"/>
          <w:b/>
          <w:bCs/>
          <w:iCs/>
          <w:color w:val="222222"/>
          <w:sz w:val="44"/>
          <w:szCs w:val="44"/>
        </w:rPr>
        <w:t>2</w:t>
      </w:r>
      <w:r w:rsidRPr="004661AD">
        <w:rPr>
          <w:rFonts w:ascii="Kokila" w:eastAsia="Times New Roman" w:hAnsi="Kokila" w:cs="Kokila"/>
          <w:b/>
          <w:bCs/>
          <w:i/>
          <w:color w:val="222222"/>
          <w:sz w:val="44"/>
          <w:szCs w:val="44"/>
        </w:rPr>
        <w:t xml:space="preserve"> </w:t>
      </w:r>
      <w:r w:rsidRPr="004661AD">
        <w:rPr>
          <w:rFonts w:ascii="Kokila" w:eastAsia="Times New Roman" w:hAnsi="Kokila" w:cs="Kokila"/>
          <w:b/>
          <w:bCs/>
          <w:i/>
          <w:color w:val="222222"/>
          <w:sz w:val="44"/>
          <w:szCs w:val="44"/>
          <w:cs/>
          <w:lang w:bidi="hi-IN"/>
        </w:rPr>
        <w:t xml:space="preserve">सामान्य </w:t>
      </w:r>
      <w:r w:rsidR="00D94F44" w:rsidRPr="00FB6A56">
        <w:rPr>
          <w:rFonts w:ascii="Kokila" w:eastAsia="Times New Roman" w:hAnsi="Kokila" w:cs="Kokila"/>
          <w:b/>
          <w:bCs/>
          <w:i/>
          <w:color w:val="222222"/>
          <w:sz w:val="44"/>
          <w:szCs w:val="44"/>
          <w:cs/>
          <w:lang w:bidi="hi-IN"/>
        </w:rPr>
        <w:t>अपेक्षाएं</w:t>
      </w:r>
      <w:r w:rsidR="00D94F44" w:rsidRPr="004661AD">
        <w:rPr>
          <w:rFonts w:ascii="Kokila" w:eastAsia="Times New Roman" w:hAnsi="Kokila" w:cs="Kokila"/>
          <w:b/>
          <w:bCs/>
          <w:i/>
          <w:color w:val="222222"/>
          <w:sz w:val="44"/>
          <w:szCs w:val="44"/>
          <w:cs/>
          <w:lang w:bidi="hi-IN"/>
        </w:rPr>
        <w:t xml:space="preserve"> </w:t>
      </w:r>
      <w:r w:rsidR="00475B0A">
        <w:rPr>
          <w:rFonts w:ascii="Kokila" w:eastAsia="Times New Roman" w:hAnsi="Kokila" w:cs="Kokila"/>
          <w:b/>
          <w:bCs/>
          <w:i/>
          <w:color w:val="222222"/>
          <w:sz w:val="44"/>
          <w:szCs w:val="44"/>
          <w:lang w:bidi="hi-IN"/>
        </w:rPr>
        <w:t>—</w:t>
      </w:r>
      <w:r w:rsidRPr="004661AD">
        <w:rPr>
          <w:rFonts w:ascii="Kokila" w:eastAsia="Times New Roman" w:hAnsi="Kokila" w:cs="Kokila"/>
          <w:b/>
          <w:bCs/>
          <w:i/>
          <w:color w:val="222222"/>
          <w:sz w:val="44"/>
          <w:szCs w:val="44"/>
          <w:cs/>
          <w:lang w:bidi="hi-IN"/>
        </w:rPr>
        <w:t xml:space="preserve"> समायोज्य गति ए.सी. पावर ड्राइव सिस्टम के लिए रेटिंग </w:t>
      </w:r>
      <w:r w:rsidR="00D94F44" w:rsidRPr="00D94F44">
        <w:rPr>
          <w:rFonts w:ascii="Kokila" w:eastAsia="Times New Roman" w:hAnsi="Kokila" w:cs="Kokila"/>
          <w:b/>
          <w:bCs/>
          <w:i/>
          <w:color w:val="222222"/>
          <w:sz w:val="44"/>
          <w:szCs w:val="44"/>
          <w:cs/>
          <w:lang w:bidi="hi-IN"/>
        </w:rPr>
        <w:t>विशिष्टी</w:t>
      </w:r>
    </w:p>
    <w:p w:rsidR="003B1C4C" w:rsidRDefault="003B1C4C" w:rsidP="00A07A29">
      <w:pPr>
        <w:pStyle w:val="PlainText"/>
        <w:spacing w:before="120" w:after="120" w:line="276" w:lineRule="auto"/>
        <w:ind w:left="2520" w:firstLine="3874"/>
        <w:jc w:val="center"/>
        <w:rPr>
          <w:rFonts w:ascii="Arial" w:hAnsi="Arial" w:cs="Arial"/>
          <w:b/>
          <w:bCs/>
          <w:iCs/>
          <w:sz w:val="36"/>
          <w:szCs w:val="36"/>
        </w:rPr>
      </w:pPr>
    </w:p>
    <w:p w:rsidR="00340C1C" w:rsidRPr="00340C1C" w:rsidRDefault="00340C1C" w:rsidP="00A07A29">
      <w:pPr>
        <w:pStyle w:val="PlainText"/>
        <w:spacing w:before="120" w:after="120" w:line="276" w:lineRule="auto"/>
        <w:ind w:left="2520"/>
        <w:jc w:val="center"/>
        <w:rPr>
          <w:rFonts w:ascii="Arial" w:hAnsi="Arial" w:cs="Arial"/>
          <w:b/>
          <w:bCs/>
          <w:iCs/>
          <w:sz w:val="36"/>
          <w:szCs w:val="36"/>
        </w:rPr>
      </w:pPr>
      <w:r w:rsidRPr="00340C1C">
        <w:rPr>
          <w:rFonts w:ascii="Arial" w:hAnsi="Arial" w:cs="Arial"/>
          <w:b/>
          <w:bCs/>
          <w:iCs/>
          <w:sz w:val="36"/>
          <w:szCs w:val="36"/>
        </w:rPr>
        <w:t>Adjustable Speed Electrical</w:t>
      </w:r>
      <w:r>
        <w:rPr>
          <w:rFonts w:ascii="Arial" w:hAnsi="Arial" w:cs="Arial"/>
          <w:b/>
          <w:bCs/>
          <w:iCs/>
          <w:sz w:val="36"/>
          <w:szCs w:val="36"/>
        </w:rPr>
        <w:t xml:space="preserve"> </w:t>
      </w:r>
      <w:r w:rsidRPr="00340C1C">
        <w:rPr>
          <w:rFonts w:ascii="Arial" w:hAnsi="Arial" w:cs="Arial"/>
          <w:b/>
          <w:bCs/>
          <w:iCs/>
          <w:sz w:val="36"/>
          <w:szCs w:val="36"/>
        </w:rPr>
        <w:t>Power Drive Systems</w:t>
      </w:r>
    </w:p>
    <w:p w:rsidR="00A07A29" w:rsidRDefault="003B1C4C" w:rsidP="00A07A29">
      <w:pPr>
        <w:pStyle w:val="PlainText"/>
        <w:spacing w:before="120" w:after="120" w:line="276" w:lineRule="auto"/>
        <w:ind w:left="2520"/>
        <w:jc w:val="center"/>
        <w:rPr>
          <w:rFonts w:ascii="Arial" w:hAnsi="Arial" w:cs="Arial"/>
          <w:b/>
          <w:bCs/>
          <w:iCs/>
          <w:sz w:val="32"/>
          <w:szCs w:val="32"/>
        </w:rPr>
      </w:pPr>
      <w:r w:rsidRPr="003B1C4C">
        <w:rPr>
          <w:rFonts w:ascii="Arial" w:hAnsi="Arial" w:cs="Arial"/>
          <w:b/>
          <w:bCs/>
          <w:iCs/>
          <w:sz w:val="32"/>
          <w:szCs w:val="32"/>
        </w:rPr>
        <w:t xml:space="preserve">Part 2 General Requirements </w:t>
      </w:r>
      <w:r w:rsidRPr="00340C1C">
        <w:rPr>
          <w:rFonts w:ascii="Arial" w:hAnsi="Arial" w:cs="Arial"/>
          <w:b/>
          <w:bCs/>
          <w:iCs/>
          <w:sz w:val="32"/>
          <w:szCs w:val="32"/>
        </w:rPr>
        <w:t>—</w:t>
      </w:r>
      <w:r>
        <w:rPr>
          <w:rFonts w:ascii="Arial" w:hAnsi="Arial" w:cs="Arial"/>
          <w:b/>
          <w:bCs/>
          <w:iCs/>
          <w:sz w:val="32"/>
          <w:szCs w:val="32"/>
        </w:rPr>
        <w:t xml:space="preserve"> </w:t>
      </w:r>
      <w:r w:rsidRPr="003B1C4C">
        <w:rPr>
          <w:rFonts w:ascii="Arial" w:hAnsi="Arial" w:cs="Arial"/>
          <w:b/>
          <w:bCs/>
          <w:iCs/>
          <w:sz w:val="32"/>
          <w:szCs w:val="32"/>
        </w:rPr>
        <w:t>Rating Specifications for Adjustable Speed AC Power Drive Systems</w:t>
      </w:r>
    </w:p>
    <w:p w:rsidR="004306D1" w:rsidRDefault="004306D1" w:rsidP="00A07A29">
      <w:pPr>
        <w:pStyle w:val="PlainText"/>
        <w:ind w:left="2520" w:firstLine="3874"/>
        <w:rPr>
          <w:rFonts w:ascii="Arial" w:eastAsia="PMingLiU" w:hAnsi="Arial" w:cs="Arial"/>
          <w:sz w:val="24"/>
          <w:szCs w:val="24"/>
          <w:lang w:eastAsia="zh-TW"/>
        </w:rPr>
      </w:pPr>
    </w:p>
    <w:p w:rsidR="00270C4A" w:rsidRDefault="00270C4A" w:rsidP="00A07A29">
      <w:pPr>
        <w:pStyle w:val="PlainText"/>
        <w:ind w:left="2520" w:firstLine="3874"/>
        <w:rPr>
          <w:rFonts w:ascii="Arial" w:eastAsia="PMingLiU" w:hAnsi="Arial" w:cs="Arial"/>
          <w:sz w:val="24"/>
          <w:szCs w:val="24"/>
          <w:lang w:eastAsia="zh-TW"/>
        </w:rPr>
      </w:pPr>
    </w:p>
    <w:p w:rsidR="00270C4A" w:rsidRPr="00A07A29" w:rsidRDefault="00340C1C" w:rsidP="00A07A29">
      <w:pPr>
        <w:pStyle w:val="PlainText"/>
        <w:ind w:left="2520"/>
        <w:jc w:val="center"/>
        <w:rPr>
          <w:rFonts w:ascii="Arial" w:hAnsi="Arial" w:cs="Arial"/>
          <w:iCs/>
          <w:sz w:val="24"/>
          <w:szCs w:val="24"/>
        </w:rPr>
      </w:pPr>
      <w:r w:rsidRPr="00A07A29">
        <w:rPr>
          <w:rFonts w:ascii="Arial" w:hAnsi="Arial" w:cs="Arial"/>
          <w:iCs/>
          <w:sz w:val="24"/>
          <w:szCs w:val="24"/>
        </w:rPr>
        <w:t>ICS 29.160.30; 29.200</w:t>
      </w:r>
    </w:p>
    <w:p w:rsidR="00340C1C" w:rsidRPr="00A07A29" w:rsidRDefault="00340C1C" w:rsidP="00A07A29">
      <w:pPr>
        <w:pStyle w:val="PlainText"/>
        <w:ind w:left="2520"/>
        <w:jc w:val="center"/>
        <w:rPr>
          <w:rFonts w:ascii="Arial" w:hAnsi="Arial" w:cs="Arial"/>
          <w:iCs/>
          <w:sz w:val="24"/>
          <w:szCs w:val="24"/>
        </w:rPr>
      </w:pPr>
    </w:p>
    <w:p w:rsidR="00340C1C" w:rsidRPr="00A07A29" w:rsidRDefault="00340C1C" w:rsidP="00A07A29">
      <w:pPr>
        <w:pStyle w:val="PlainText"/>
        <w:ind w:left="2520"/>
        <w:jc w:val="center"/>
        <w:rPr>
          <w:rFonts w:ascii="Arial" w:hAnsi="Arial" w:cs="Arial"/>
          <w:iCs/>
          <w:sz w:val="24"/>
          <w:szCs w:val="24"/>
        </w:rPr>
      </w:pPr>
    </w:p>
    <w:p w:rsidR="00340C1C" w:rsidRPr="00A07A29" w:rsidRDefault="00340C1C" w:rsidP="00A07A29">
      <w:pPr>
        <w:pStyle w:val="PlainText"/>
        <w:ind w:left="2520"/>
        <w:jc w:val="center"/>
        <w:rPr>
          <w:rFonts w:ascii="Arial" w:hAnsi="Arial" w:cs="Arial"/>
          <w:iCs/>
          <w:sz w:val="24"/>
          <w:szCs w:val="24"/>
        </w:rPr>
      </w:pPr>
    </w:p>
    <w:p w:rsidR="00340C1C" w:rsidRPr="00A07A29" w:rsidRDefault="00340C1C" w:rsidP="00A07A29">
      <w:pPr>
        <w:pStyle w:val="PlainText"/>
        <w:ind w:left="2520"/>
        <w:jc w:val="center"/>
        <w:rPr>
          <w:rFonts w:ascii="Arial" w:hAnsi="Arial" w:cs="Arial"/>
          <w:iCs/>
          <w:sz w:val="24"/>
          <w:szCs w:val="24"/>
        </w:rPr>
      </w:pPr>
    </w:p>
    <w:p w:rsidR="00340C1C" w:rsidRPr="00A07A29" w:rsidRDefault="00340C1C" w:rsidP="00A07A29">
      <w:pPr>
        <w:pStyle w:val="PlainText"/>
        <w:ind w:left="2520"/>
        <w:jc w:val="center"/>
        <w:rPr>
          <w:rFonts w:ascii="Arial" w:hAnsi="Arial" w:cs="Arial"/>
          <w:iCs/>
          <w:sz w:val="24"/>
          <w:szCs w:val="24"/>
        </w:rPr>
      </w:pPr>
    </w:p>
    <w:p w:rsidR="00270C4A" w:rsidRPr="00A07A29" w:rsidRDefault="00270C4A" w:rsidP="00A07A29">
      <w:pPr>
        <w:pStyle w:val="PlainText"/>
        <w:ind w:left="2520"/>
        <w:jc w:val="center"/>
        <w:rPr>
          <w:rFonts w:ascii="Arial" w:hAnsi="Arial" w:cs="Arial"/>
          <w:iCs/>
          <w:sz w:val="24"/>
          <w:szCs w:val="24"/>
        </w:rPr>
      </w:pPr>
      <w:r w:rsidRPr="00A07A29">
        <w:rPr>
          <w:rFonts w:ascii="Arial" w:hAnsi="Arial" w:cs="Arial"/>
          <w:iCs/>
          <w:sz w:val="24"/>
          <w:szCs w:val="24"/>
        </w:rPr>
        <w:sym w:font="Symbol" w:char="00D3"/>
      </w:r>
      <w:r w:rsidRPr="00A07A29">
        <w:rPr>
          <w:rFonts w:ascii="Arial" w:hAnsi="Arial" w:cs="Arial"/>
          <w:iCs/>
          <w:sz w:val="24"/>
          <w:szCs w:val="24"/>
        </w:rPr>
        <w:t xml:space="preserve"> BIS 202</w:t>
      </w:r>
      <w:r w:rsidR="00340C1C" w:rsidRPr="00A07A29">
        <w:rPr>
          <w:rFonts w:ascii="Arial" w:hAnsi="Arial" w:cs="Arial"/>
          <w:iCs/>
          <w:sz w:val="24"/>
          <w:szCs w:val="24"/>
        </w:rPr>
        <w:t>4</w:t>
      </w:r>
    </w:p>
    <w:p w:rsidR="004B1677" w:rsidRPr="00A07A29" w:rsidRDefault="004B1677" w:rsidP="00A07A29">
      <w:pPr>
        <w:pStyle w:val="PlainText"/>
        <w:ind w:left="2520"/>
        <w:jc w:val="center"/>
        <w:rPr>
          <w:rFonts w:ascii="Arial" w:hAnsi="Arial" w:cs="Arial"/>
          <w:iCs/>
          <w:sz w:val="24"/>
          <w:szCs w:val="24"/>
        </w:rPr>
      </w:pPr>
      <w:r w:rsidRPr="00A07A29">
        <w:rPr>
          <w:rFonts w:ascii="Arial" w:hAnsi="Arial" w:cs="Arial"/>
          <w:iCs/>
          <w:sz w:val="24"/>
          <w:szCs w:val="24"/>
        </w:rPr>
        <w:sym w:font="Symbol" w:char="00D3"/>
      </w:r>
      <w:r w:rsidRPr="00A07A29">
        <w:rPr>
          <w:rFonts w:ascii="Arial" w:hAnsi="Arial" w:cs="Arial"/>
          <w:iCs/>
          <w:sz w:val="24"/>
          <w:szCs w:val="24"/>
        </w:rPr>
        <w:t xml:space="preserve"> IEC 20</w:t>
      </w:r>
      <w:r w:rsidR="009E1F20" w:rsidRPr="00A07A29">
        <w:rPr>
          <w:rFonts w:ascii="Arial" w:hAnsi="Arial" w:cs="Arial"/>
          <w:iCs/>
          <w:sz w:val="24"/>
          <w:szCs w:val="24"/>
        </w:rPr>
        <w:t>2</w:t>
      </w:r>
      <w:r w:rsidR="009371E0" w:rsidRPr="00A07A29">
        <w:rPr>
          <w:rFonts w:ascii="Arial" w:hAnsi="Arial" w:cs="Arial"/>
          <w:iCs/>
          <w:sz w:val="24"/>
          <w:szCs w:val="24"/>
        </w:rPr>
        <w:t>1</w:t>
      </w:r>
    </w:p>
    <w:p w:rsidR="00270C4A" w:rsidRPr="00A07A29" w:rsidRDefault="004B1677" w:rsidP="00A07A29">
      <w:pPr>
        <w:pStyle w:val="PlainText"/>
        <w:ind w:left="2520"/>
        <w:jc w:val="center"/>
        <w:rPr>
          <w:rFonts w:ascii="Arial" w:hAnsi="Arial" w:cs="Arial"/>
          <w:iCs/>
          <w:sz w:val="24"/>
          <w:szCs w:val="24"/>
        </w:rPr>
      </w:pPr>
      <w:r w:rsidRPr="00A07A29">
        <w:rPr>
          <w:rFonts w:ascii="Arial" w:hAnsi="Arial" w:cs="Arial"/>
          <w:iCs/>
          <w:sz w:val="24"/>
          <w:szCs w:val="24"/>
        </w:rPr>
        <w:t xml:space="preserve">  </w:t>
      </w:r>
      <w:r w:rsidRPr="00A07A29">
        <w:rPr>
          <w:rFonts w:ascii="Arial" w:hAnsi="Arial" w:cs="Arial"/>
          <w:iCs/>
          <w:noProof/>
          <w:sz w:val="24"/>
          <w:szCs w:val="24"/>
          <w:lang w:val="en-IN" w:eastAsia="en-IN"/>
        </w:rPr>
        <w:drawing>
          <wp:inline distT="0" distB="0" distL="0" distR="0">
            <wp:extent cx="4191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rsidR="00270C4A" w:rsidRPr="00CF4653" w:rsidRDefault="00237272" w:rsidP="00A07A29">
      <w:pPr>
        <w:spacing w:after="0" w:line="240" w:lineRule="auto"/>
        <w:ind w:left="2520" w:hanging="180"/>
        <w:jc w:val="center"/>
        <w:rPr>
          <w:rFonts w:ascii="Arial" w:hAnsi="Arial" w:cs="Arial"/>
          <w:sz w:val="24"/>
          <w:szCs w:val="24"/>
        </w:rPr>
      </w:pPr>
      <w:r>
        <w:rPr>
          <w:rFonts w:ascii="Arial" w:hAnsi="Arial" w:cs="Arial"/>
          <w:noProof/>
          <w:position w:val="-1"/>
          <w:sz w:val="10"/>
          <w:lang w:bidi="hi-IN"/>
        </w:rPr>
      </w:r>
      <w:r>
        <w:rPr>
          <w:rFonts w:ascii="Arial" w:hAnsi="Arial" w:cs="Arial"/>
          <w:noProof/>
          <w:position w:val="-1"/>
          <w:sz w:val="10"/>
          <w:lang w:bidi="hi-IN"/>
        </w:rPr>
        <w:pict>
          <v:group id="Group 16" o:spid="_x0000_s1031" style="width:317.35pt;height:5pt;mso-position-horizontal-relative:char;mso-position-vertical-relative:line" coordsize="6347,100">
            <v:line id="Line 17" o:spid="_x0000_s1034"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33"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32"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wrap type="none"/>
            <w10:anchorlock/>
          </v:group>
        </w:pict>
      </w:r>
    </w:p>
    <w:p w:rsidR="00270C4A" w:rsidRPr="00B616F9" w:rsidRDefault="00270C4A" w:rsidP="00A07A29">
      <w:pPr>
        <w:spacing w:after="0" w:line="240" w:lineRule="auto"/>
        <w:ind w:left="2520" w:firstLine="3874"/>
        <w:jc w:val="both"/>
        <w:rPr>
          <w:rFonts w:ascii="Arial" w:hAnsi="Arial" w:cs="Arial"/>
          <w:sz w:val="18"/>
          <w:szCs w:val="18"/>
        </w:rPr>
      </w:pPr>
    </w:p>
    <w:p w:rsidR="00270C4A" w:rsidRPr="00B616F9" w:rsidRDefault="00237272" w:rsidP="00504F9B">
      <w:pPr>
        <w:spacing w:after="0" w:line="240" w:lineRule="auto"/>
        <w:ind w:left="2520" w:firstLine="810"/>
        <w:rPr>
          <w:rFonts w:ascii="Kokila" w:hAnsi="Kokila" w:cs="Kokila"/>
          <w:b/>
          <w:bCs/>
          <w:caps/>
          <w:sz w:val="32"/>
          <w:szCs w:val="32"/>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21.25pt;margin-top:11.4pt;width:59.7pt;height:59.7pt;z-index:251658240" o:allowincell="f">
            <v:imagedata r:id="rId8" o:title=""/>
          </v:shape>
          <o:OLEObject Type="Embed" ProgID="MSPhotoEd.3" ShapeID="_x0000_s1030" DrawAspect="Content" ObjectID="_1794049806" r:id="rId9"/>
        </w:object>
      </w:r>
      <w:r w:rsidR="00504F9B">
        <w:rPr>
          <w:rFonts w:ascii="Kokila" w:hAnsi="Kokila" w:cs="Kokila"/>
          <w:caps/>
          <w:sz w:val="36"/>
          <w:szCs w:val="36"/>
          <w:lang w:bidi="hi-IN"/>
        </w:rPr>
        <w:t xml:space="preserve">                      </w:t>
      </w:r>
      <w:r w:rsidR="00270C4A" w:rsidRPr="00B616F9">
        <w:rPr>
          <w:rFonts w:ascii="Kokila" w:hAnsi="Kokila" w:cs="Kokila"/>
          <w:caps/>
          <w:sz w:val="36"/>
          <w:szCs w:val="36"/>
          <w:cs/>
          <w:lang w:bidi="hi-IN"/>
        </w:rPr>
        <w:t>भारतीय मानक ब्यूरो</w:t>
      </w:r>
    </w:p>
    <w:p w:rsidR="00270C4A" w:rsidRPr="00CF4653" w:rsidRDefault="00270C4A" w:rsidP="00504F9B">
      <w:pPr>
        <w:autoSpaceDE w:val="0"/>
        <w:autoSpaceDN w:val="0"/>
        <w:adjustRightInd w:val="0"/>
        <w:spacing w:after="0" w:line="240" w:lineRule="auto"/>
        <w:ind w:left="2520" w:firstLine="81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270C4A" w:rsidRPr="00B616F9" w:rsidRDefault="00270C4A" w:rsidP="00504F9B">
      <w:pPr>
        <w:spacing w:after="0" w:line="240" w:lineRule="auto"/>
        <w:ind w:left="2520" w:firstLine="81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rsidR="00A07A29" w:rsidRDefault="00270C4A" w:rsidP="00504F9B">
      <w:pPr>
        <w:tabs>
          <w:tab w:val="left" w:pos="3119"/>
          <w:tab w:val="left" w:pos="3828"/>
          <w:tab w:val="left" w:pos="4253"/>
        </w:tabs>
        <w:autoSpaceDE w:val="0"/>
        <w:autoSpaceDN w:val="0"/>
        <w:adjustRightInd w:val="0"/>
        <w:spacing w:after="0" w:line="240" w:lineRule="auto"/>
        <w:ind w:left="2520" w:firstLine="81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270C4A" w:rsidRPr="00CF4653" w:rsidRDefault="00270C4A" w:rsidP="00504F9B">
      <w:pPr>
        <w:tabs>
          <w:tab w:val="left" w:pos="3119"/>
          <w:tab w:val="left" w:pos="3828"/>
          <w:tab w:val="left" w:pos="4253"/>
        </w:tabs>
        <w:autoSpaceDE w:val="0"/>
        <w:autoSpaceDN w:val="0"/>
        <w:adjustRightInd w:val="0"/>
        <w:spacing w:after="0" w:line="240" w:lineRule="auto"/>
        <w:ind w:left="2520" w:firstLine="81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270C4A" w:rsidRPr="00CF4653" w:rsidRDefault="00237272" w:rsidP="00A07A29">
      <w:pPr>
        <w:spacing w:after="0" w:line="240" w:lineRule="auto"/>
        <w:ind w:left="2520"/>
        <w:jc w:val="center"/>
        <w:rPr>
          <w:rFonts w:ascii="Arial" w:hAnsi="Arial" w:cs="Arial"/>
          <w:sz w:val="20"/>
          <w:szCs w:val="24"/>
        </w:rPr>
      </w:pPr>
      <w:hyperlink r:id="rId10"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11" w:history="1">
        <w:r w:rsidR="00270C4A" w:rsidRPr="00CF4653">
          <w:rPr>
            <w:rStyle w:val="Hyperlink"/>
            <w:rFonts w:ascii="Arial" w:hAnsi="Arial" w:cs="Arial"/>
            <w:szCs w:val="24"/>
          </w:rPr>
          <w:t>www.standardsbis.in</w:t>
        </w:r>
      </w:hyperlink>
    </w:p>
    <w:p w:rsidR="00A07A29" w:rsidRDefault="00A07A29" w:rsidP="00A07A29">
      <w:pPr>
        <w:spacing w:after="0" w:line="240" w:lineRule="auto"/>
        <w:rPr>
          <w:rFonts w:ascii="Arial" w:hAnsi="Arial" w:cs="Arial"/>
          <w:sz w:val="24"/>
          <w:szCs w:val="24"/>
        </w:rPr>
      </w:pPr>
    </w:p>
    <w:p w:rsidR="006E6B10" w:rsidRDefault="00A07A29" w:rsidP="00A07A29">
      <w:pPr>
        <w:spacing w:after="0" w:line="240" w:lineRule="auto"/>
        <w:jc w:val="center"/>
        <w:rPr>
          <w:rFonts w:ascii="Arial" w:hAnsi="Arial" w:cs="Arial"/>
          <w:b/>
          <w:bCs/>
          <w:sz w:val="24"/>
          <w:szCs w:val="24"/>
        </w:rPr>
      </w:pPr>
      <w:r>
        <w:rPr>
          <w:rFonts w:ascii="Arial" w:hAnsi="Arial" w:cs="Arial"/>
          <w:b/>
          <w:bCs/>
          <w:iCs/>
          <w:sz w:val="24"/>
          <w:szCs w:val="24"/>
        </w:rPr>
        <w:t xml:space="preserve">                                 </w:t>
      </w:r>
      <w:r w:rsidR="004A32DD">
        <w:rPr>
          <w:rFonts w:ascii="Arial" w:hAnsi="Arial" w:cs="Arial"/>
          <w:b/>
          <w:bCs/>
          <w:iCs/>
          <w:sz w:val="24"/>
          <w:szCs w:val="24"/>
        </w:rPr>
        <w:t>November</w:t>
      </w:r>
      <w:r w:rsidR="00F8390C">
        <w:rPr>
          <w:rFonts w:ascii="Arial" w:hAnsi="Arial" w:cs="Arial"/>
          <w:b/>
          <w:bCs/>
          <w:iCs/>
          <w:sz w:val="24"/>
          <w:szCs w:val="24"/>
        </w:rPr>
        <w:t xml:space="preserve"> </w:t>
      </w:r>
      <w:r w:rsidR="00270C4A" w:rsidRPr="00CF4653">
        <w:rPr>
          <w:rFonts w:ascii="Arial" w:hAnsi="Arial" w:cs="Arial"/>
          <w:b/>
          <w:bCs/>
          <w:sz w:val="24"/>
          <w:szCs w:val="24"/>
        </w:rPr>
        <w:t>202</w:t>
      </w:r>
      <w:r w:rsidR="00A27F6F">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sidR="004A32DD">
        <w:rPr>
          <w:rFonts w:ascii="Arial" w:hAnsi="Arial" w:cs="Arial"/>
          <w:b/>
          <w:bCs/>
          <w:sz w:val="24"/>
          <w:szCs w:val="24"/>
        </w:rPr>
        <w:t xml:space="preserve">   </w:t>
      </w:r>
      <w:r w:rsidR="00270C4A">
        <w:rPr>
          <w:rFonts w:ascii="Arial" w:hAnsi="Arial" w:cs="Arial"/>
          <w:b/>
          <w:bCs/>
          <w:sz w:val="24"/>
          <w:szCs w:val="24"/>
        </w:rPr>
        <w:t xml:space="preserve">             Price Group X</w:t>
      </w:r>
    </w:p>
    <w:p w:rsidR="002F66FE" w:rsidRDefault="002F66FE" w:rsidP="00A27F6F">
      <w:pPr>
        <w:pStyle w:val="BodyText"/>
        <w:jc w:val="both"/>
      </w:pPr>
    </w:p>
    <w:p w:rsidR="002F66FE" w:rsidRDefault="002F66FE" w:rsidP="00A27F6F">
      <w:pPr>
        <w:pStyle w:val="BodyText"/>
        <w:jc w:val="both"/>
      </w:pPr>
    </w:p>
    <w:p w:rsidR="002F66FE" w:rsidRDefault="002F66FE" w:rsidP="00A27F6F">
      <w:pPr>
        <w:pStyle w:val="BodyText"/>
        <w:jc w:val="both"/>
      </w:pPr>
    </w:p>
    <w:p w:rsidR="002F66FE" w:rsidRDefault="002F66FE" w:rsidP="00A27F6F">
      <w:pPr>
        <w:pStyle w:val="BodyText"/>
        <w:jc w:val="both"/>
      </w:pPr>
    </w:p>
    <w:p w:rsidR="00A27F6F" w:rsidRDefault="00A27F6F" w:rsidP="00A27F6F">
      <w:pPr>
        <w:pStyle w:val="BodyText"/>
        <w:jc w:val="both"/>
      </w:pPr>
      <w:r>
        <w:t xml:space="preserve">Power Electronics </w:t>
      </w:r>
      <w:r w:rsidRPr="009433F3">
        <w:t>Sectional Committee</w:t>
      </w:r>
      <w:r>
        <w:t>, ETD 31</w:t>
      </w:r>
    </w:p>
    <w:p w:rsidR="00340C1C" w:rsidRDefault="00340C1C" w:rsidP="00A27F6F">
      <w:pPr>
        <w:pStyle w:val="BodyText"/>
        <w:jc w:val="both"/>
      </w:pPr>
    </w:p>
    <w:p w:rsidR="003B1C4C" w:rsidRDefault="003B1C4C" w:rsidP="003B1C4C">
      <w:pPr>
        <w:pStyle w:val="BodyText"/>
        <w:jc w:val="both"/>
      </w:pPr>
      <w:r w:rsidRPr="009433F3">
        <w:t>NATIONAL FOREWORD</w:t>
      </w:r>
    </w:p>
    <w:p w:rsidR="003B1C4C" w:rsidRPr="009433F3" w:rsidRDefault="003B1C4C" w:rsidP="003B1C4C">
      <w:pPr>
        <w:pStyle w:val="BodyText"/>
        <w:jc w:val="both"/>
      </w:pPr>
    </w:p>
    <w:p w:rsidR="003B1C4C" w:rsidRDefault="003B1C4C" w:rsidP="003B1C4C">
      <w:pPr>
        <w:pStyle w:val="BodyText"/>
        <w:jc w:val="both"/>
      </w:pPr>
      <w:r>
        <w:t xml:space="preserve">This Indian Standard (Part 2) </w:t>
      </w:r>
      <w:r w:rsidRPr="009433F3">
        <w:t>which is</w:t>
      </w:r>
      <w:r>
        <w:t xml:space="preserve"> identical with </w:t>
      </w:r>
      <w:r w:rsidRPr="00C85439">
        <w:t>IEC 61800-2</w:t>
      </w:r>
      <w:r w:rsidR="00BB00D2">
        <w:t xml:space="preserve"> </w:t>
      </w:r>
      <w:r w:rsidRPr="00C85439">
        <w:t>:</w:t>
      </w:r>
      <w:r>
        <w:t xml:space="preserve"> </w:t>
      </w:r>
      <w:r w:rsidRPr="00C85439">
        <w:t>2021</w:t>
      </w:r>
      <w:r w:rsidRPr="0071594B">
        <w:t xml:space="preserve"> ‘</w:t>
      </w:r>
      <w:r w:rsidRPr="00916FCD">
        <w:t>Adjustable speed electrical power drive systems – Part 2: General requirements – Rating specifications for adjustable speed AC power drive systems</w:t>
      </w:r>
      <w:r w:rsidRPr="009433F3">
        <w:t xml:space="preserve">’ </w:t>
      </w:r>
      <w:r w:rsidR="00686F9E" w:rsidRPr="009433F3">
        <w:t xml:space="preserve">issued by the </w:t>
      </w:r>
      <w:r w:rsidRPr="009433F3">
        <w:t>International Elect</w:t>
      </w:r>
      <w:r>
        <w:t xml:space="preserve">rotechnical Commission (IEC) </w:t>
      </w:r>
      <w:r w:rsidR="004F4881">
        <w:t>was</w:t>
      </w:r>
      <w:r>
        <w:t xml:space="preserve"> adopted</w:t>
      </w:r>
      <w:r w:rsidRPr="00C10AAF">
        <w:t xml:space="preserve"> </w:t>
      </w:r>
      <w:r>
        <w:t xml:space="preserve">by </w:t>
      </w:r>
      <w:r w:rsidRPr="008614B7">
        <w:t>the</w:t>
      </w:r>
      <w:r w:rsidRPr="009433F3">
        <w:t xml:space="preserve"> Bureau of Indian Standards on the recommendation of the </w:t>
      </w:r>
      <w:r>
        <w:t xml:space="preserve">Power Electronics Sectional </w:t>
      </w:r>
      <w:r w:rsidRPr="009433F3">
        <w:t>Committee and approval of the Electrotechnical Division Cou</w:t>
      </w:r>
      <w:r w:rsidR="00E2583A">
        <w:t>ncil.</w:t>
      </w:r>
      <w:bookmarkStart w:id="0" w:name="_GoBack"/>
      <w:bookmarkEnd w:id="0"/>
    </w:p>
    <w:p w:rsidR="003B1C4C" w:rsidRDefault="003B1C4C" w:rsidP="003B1C4C">
      <w:pPr>
        <w:pStyle w:val="BodyText"/>
        <w:jc w:val="both"/>
      </w:pPr>
    </w:p>
    <w:p w:rsidR="003B1C4C" w:rsidRDefault="004452DC" w:rsidP="003B1C4C">
      <w:pPr>
        <w:pStyle w:val="BodyText"/>
        <w:jc w:val="both"/>
      </w:pPr>
      <w:r>
        <w:t>IS/IEC 61800</w:t>
      </w:r>
      <w:r w:rsidRPr="00D322DA">
        <w:t xml:space="preserve"> </w:t>
      </w:r>
      <w:r>
        <w:t>(</w:t>
      </w:r>
      <w:r w:rsidR="00453407">
        <w:t>Part 2</w:t>
      </w:r>
      <w:r>
        <w:t xml:space="preserve">) </w:t>
      </w:r>
      <w:r w:rsidR="003B1C4C" w:rsidRPr="000A670B">
        <w:t xml:space="preserve">was originally published in </w:t>
      </w:r>
      <w:r w:rsidR="003B1C4C">
        <w:t>2015</w:t>
      </w:r>
      <w:r w:rsidR="003B1C4C" w:rsidRPr="000A670B">
        <w:t>.</w:t>
      </w:r>
      <w:r w:rsidR="003B1C4C">
        <w:t xml:space="preserve"> </w:t>
      </w:r>
      <w:r w:rsidRPr="000A670B">
        <w:t xml:space="preserve">This </w:t>
      </w:r>
      <w:r w:rsidR="00517B0B">
        <w:t>publication</w:t>
      </w:r>
      <w:r w:rsidR="003B1C4C" w:rsidRPr="000A670B">
        <w:t xml:space="preserve"> has been undertaken to align it with the latest</w:t>
      </w:r>
      <w:r w:rsidR="003B1C4C">
        <w:t xml:space="preserve"> version of </w:t>
      </w:r>
      <w:r w:rsidR="003B1C4C" w:rsidRPr="00C85439">
        <w:t>IEC 61800-2:</w:t>
      </w:r>
      <w:r w:rsidR="003B1C4C">
        <w:t xml:space="preserve"> </w:t>
      </w:r>
      <w:r w:rsidR="003B1C4C" w:rsidRPr="00C85439">
        <w:t>2021</w:t>
      </w:r>
      <w:r w:rsidR="003B1C4C" w:rsidRPr="000A670B">
        <w:t>.</w:t>
      </w:r>
      <w:r w:rsidR="00D322DA">
        <w:t xml:space="preserve"> This standard supersedes </w:t>
      </w:r>
      <w:r w:rsidR="00453407">
        <w:t>IS/IEC 61800</w:t>
      </w:r>
      <w:r w:rsidR="00453407" w:rsidRPr="00D322DA">
        <w:t xml:space="preserve"> </w:t>
      </w:r>
      <w:r w:rsidR="00453407">
        <w:t>(Part 2)</w:t>
      </w:r>
      <w:r w:rsidR="00453407" w:rsidRPr="00D322DA">
        <w:t>: 20</w:t>
      </w:r>
      <w:r w:rsidR="00453407">
        <w:t xml:space="preserve">15 and </w:t>
      </w:r>
      <w:r w:rsidR="0026163C">
        <w:t>IS/IEC 61800</w:t>
      </w:r>
      <w:r w:rsidR="00D322DA" w:rsidRPr="00D322DA">
        <w:t xml:space="preserve"> </w:t>
      </w:r>
      <w:r w:rsidR="0026163C">
        <w:t>(</w:t>
      </w:r>
      <w:r w:rsidR="00D322DA" w:rsidRPr="00D322DA">
        <w:t>Part 4</w:t>
      </w:r>
      <w:r w:rsidR="00F9321C">
        <w:t>)</w:t>
      </w:r>
      <w:r w:rsidR="00D322DA" w:rsidRPr="00D322DA">
        <w:t>: 2002</w:t>
      </w:r>
      <w:r w:rsidR="00D322DA">
        <w:t>.</w:t>
      </w:r>
    </w:p>
    <w:p w:rsidR="00B52B6C" w:rsidRPr="002B0FC2" w:rsidRDefault="00B52B6C" w:rsidP="00B52B6C">
      <w:pPr>
        <w:adjustRightInd w:val="0"/>
        <w:spacing w:after="0" w:line="240" w:lineRule="auto"/>
        <w:jc w:val="both"/>
        <w:rPr>
          <w:sz w:val="24"/>
          <w:szCs w:val="24"/>
        </w:rPr>
      </w:pPr>
    </w:p>
    <w:p w:rsidR="009C794B" w:rsidRDefault="009C794B" w:rsidP="009C794B">
      <w:pPr>
        <w:adjustRightInd w:val="0"/>
        <w:spacing w:after="0" w:line="240" w:lineRule="auto"/>
        <w:jc w:val="both"/>
        <w:rPr>
          <w:rFonts w:ascii="Times New Roman" w:eastAsia="Times New Roman" w:hAnsi="Times New Roman" w:cs="Times New Roman"/>
          <w:sz w:val="24"/>
          <w:szCs w:val="24"/>
        </w:rPr>
      </w:pPr>
      <w:r w:rsidRPr="004306D1">
        <w:rPr>
          <w:rFonts w:ascii="Times New Roman" w:eastAsia="Times New Roman" w:hAnsi="Times New Roman" w:cs="Times New Roman"/>
          <w:sz w:val="24"/>
          <w:szCs w:val="24"/>
        </w:rPr>
        <w:t>This standard is published in various parts. Other parts in this series are:</w:t>
      </w:r>
    </w:p>
    <w:p w:rsidR="009C794B" w:rsidRPr="002B0FC2" w:rsidRDefault="009C794B" w:rsidP="009C794B">
      <w:pPr>
        <w:adjustRightInd w:val="0"/>
        <w:spacing w:after="0" w:line="240" w:lineRule="auto"/>
        <w:jc w:val="both"/>
        <w:rPr>
          <w:sz w:val="24"/>
          <w:szCs w:val="24"/>
        </w:rPr>
      </w:pPr>
    </w:p>
    <w:tbl>
      <w:tblPr>
        <w:tblStyle w:val="TableGrid"/>
        <w:tblW w:w="90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7871"/>
      </w:tblGrid>
      <w:tr w:rsidR="009C794B" w:rsidRPr="002B0FC2" w:rsidTr="004452DC">
        <w:trPr>
          <w:jc w:val="center"/>
        </w:trPr>
        <w:tc>
          <w:tcPr>
            <w:tcW w:w="1167" w:type="dxa"/>
          </w:tcPr>
          <w:p w:rsidR="009C794B" w:rsidRPr="002B0FC2" w:rsidRDefault="009C794B" w:rsidP="00504F9B">
            <w:pPr>
              <w:pStyle w:val="BodyText"/>
              <w:jc w:val="center"/>
            </w:pPr>
            <w:r w:rsidRPr="009C794B">
              <w:t>Part 1</w:t>
            </w:r>
          </w:p>
        </w:tc>
        <w:tc>
          <w:tcPr>
            <w:tcW w:w="7871" w:type="dxa"/>
          </w:tcPr>
          <w:p w:rsidR="009C794B" w:rsidRPr="002B0FC2" w:rsidRDefault="009C794B" w:rsidP="00504F9B">
            <w:pPr>
              <w:pStyle w:val="BodyText"/>
              <w:jc w:val="both"/>
            </w:pPr>
            <w:r w:rsidRPr="009C794B">
              <w:t>General Requirements — Rating Specifications for Low Voltage Adjustable Speed d.c. Power Drive Systems</w:t>
            </w:r>
          </w:p>
        </w:tc>
      </w:tr>
      <w:tr w:rsidR="009C794B" w:rsidRPr="002B0FC2" w:rsidTr="004452DC">
        <w:trPr>
          <w:jc w:val="center"/>
        </w:trPr>
        <w:tc>
          <w:tcPr>
            <w:tcW w:w="1167" w:type="dxa"/>
          </w:tcPr>
          <w:p w:rsidR="009C794B" w:rsidRPr="002B0FC2" w:rsidRDefault="009C794B" w:rsidP="00504F9B">
            <w:pPr>
              <w:pStyle w:val="BodyText"/>
              <w:jc w:val="center"/>
            </w:pPr>
            <w:r w:rsidRPr="004306D1">
              <w:rPr>
                <w:color w:val="000000"/>
              </w:rPr>
              <w:t>Part 6</w:t>
            </w:r>
          </w:p>
        </w:tc>
        <w:tc>
          <w:tcPr>
            <w:tcW w:w="7871" w:type="dxa"/>
          </w:tcPr>
          <w:p w:rsidR="009C794B" w:rsidRPr="002B0FC2" w:rsidRDefault="009C794B" w:rsidP="00504F9B">
            <w:pPr>
              <w:pStyle w:val="BodyText"/>
              <w:jc w:val="both"/>
            </w:pPr>
            <w:r w:rsidRPr="0054035B">
              <w:t>Guide for determination of types of load duty and corresponding current ratings</w:t>
            </w:r>
          </w:p>
        </w:tc>
      </w:tr>
    </w:tbl>
    <w:p w:rsidR="009C794B" w:rsidRDefault="009C794B" w:rsidP="005C13F0">
      <w:pPr>
        <w:adjustRightInd w:val="0"/>
        <w:spacing w:after="0" w:line="240" w:lineRule="auto"/>
        <w:jc w:val="both"/>
        <w:rPr>
          <w:rFonts w:ascii="Times New Roman" w:eastAsia="Times New Roman" w:hAnsi="Times New Roman" w:cs="Times New Roman"/>
          <w:sz w:val="24"/>
          <w:szCs w:val="24"/>
        </w:rPr>
      </w:pPr>
    </w:p>
    <w:p w:rsidR="003B1C4C" w:rsidRPr="009433F3" w:rsidRDefault="003B1C4C" w:rsidP="003B1C4C">
      <w:pPr>
        <w:pStyle w:val="BodyText"/>
        <w:jc w:val="both"/>
      </w:pPr>
      <w:r w:rsidRPr="009433F3">
        <w:t>The text of the IEC Standard has been approved as suitable for publication as an Indian Standard without deviations. Certain conventions are, however, not identical to those used in Indian Standards. Attention is particularly drawn to the following:</w:t>
      </w:r>
    </w:p>
    <w:p w:rsidR="003B1C4C" w:rsidRPr="009433F3" w:rsidRDefault="003B1C4C" w:rsidP="003B1C4C">
      <w:pPr>
        <w:pStyle w:val="BodyText"/>
        <w:numPr>
          <w:ilvl w:val="0"/>
          <w:numId w:val="1"/>
        </w:numPr>
        <w:spacing w:before="269"/>
        <w:ind w:left="990"/>
        <w:jc w:val="both"/>
      </w:pPr>
      <w:r w:rsidRPr="009433F3">
        <w:t>Wherever the words ‘International Standard’ appears referring to this standard, they should be read as ‘Indian Standard’.</w:t>
      </w:r>
    </w:p>
    <w:p w:rsidR="003B1C4C" w:rsidRPr="009433F3" w:rsidRDefault="003B1C4C" w:rsidP="003B1C4C">
      <w:pPr>
        <w:pStyle w:val="BodyText"/>
        <w:numPr>
          <w:ilvl w:val="0"/>
          <w:numId w:val="1"/>
        </w:numPr>
        <w:spacing w:before="269"/>
        <w:ind w:left="990"/>
        <w:jc w:val="both"/>
      </w:pPr>
      <w:r w:rsidRPr="009433F3">
        <w:t>Comma (,) has been used as a decimal marker, while in Indian Standards the current practice is to use a point (.) as the decimal marker.</w:t>
      </w:r>
    </w:p>
    <w:p w:rsidR="003B1C4C" w:rsidRDefault="003B1C4C" w:rsidP="003B1C4C">
      <w:pPr>
        <w:pStyle w:val="BodyText"/>
        <w:spacing w:before="269"/>
        <w:jc w:val="both"/>
      </w:pPr>
      <w:r w:rsidRPr="009433F3">
        <w:t>In this adopted standard, reference appears to International Standards for which Indian Standards also exists. The corresponding Indian Standards, which are to be substituted, are listed below along with their degree of equivalence for the editions indicated:</w:t>
      </w:r>
    </w:p>
    <w:p w:rsidR="003B1C4C" w:rsidRPr="009433F3" w:rsidRDefault="003B1C4C" w:rsidP="003B1C4C">
      <w:pPr>
        <w:pStyle w:val="BodyText"/>
        <w:jc w:val="both"/>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95"/>
        <w:gridCol w:w="3960"/>
        <w:gridCol w:w="1440"/>
      </w:tblGrid>
      <w:tr w:rsidR="003B1C4C" w:rsidRPr="009433F3" w:rsidTr="00A07A29">
        <w:trPr>
          <w:trHeight w:val="465"/>
        </w:trPr>
        <w:tc>
          <w:tcPr>
            <w:tcW w:w="3595" w:type="dxa"/>
            <w:shd w:val="clear" w:color="auto" w:fill="auto"/>
          </w:tcPr>
          <w:p w:rsidR="003B1C4C" w:rsidRPr="00E1746A" w:rsidRDefault="003B1C4C" w:rsidP="00207464">
            <w:pPr>
              <w:pStyle w:val="BodyText"/>
              <w:ind w:left="90" w:right="90"/>
              <w:jc w:val="center"/>
              <w:rPr>
                <w:i/>
                <w:iCs/>
              </w:rPr>
            </w:pPr>
            <w:r w:rsidRPr="00E1746A">
              <w:rPr>
                <w:i/>
                <w:iCs/>
              </w:rPr>
              <w:t>International Standard</w:t>
            </w:r>
          </w:p>
        </w:tc>
        <w:tc>
          <w:tcPr>
            <w:tcW w:w="3960" w:type="dxa"/>
            <w:shd w:val="clear" w:color="auto" w:fill="auto"/>
          </w:tcPr>
          <w:p w:rsidR="003B1C4C" w:rsidRPr="00E1746A" w:rsidRDefault="003B1C4C" w:rsidP="00207464">
            <w:pPr>
              <w:pStyle w:val="BodyText"/>
              <w:ind w:left="90" w:right="90"/>
              <w:jc w:val="center"/>
              <w:rPr>
                <w:i/>
                <w:iCs/>
              </w:rPr>
            </w:pPr>
            <w:r w:rsidRPr="00E1746A">
              <w:rPr>
                <w:i/>
                <w:iCs/>
              </w:rPr>
              <w:t>Corresponding Indian Standard</w:t>
            </w:r>
          </w:p>
        </w:tc>
        <w:tc>
          <w:tcPr>
            <w:tcW w:w="1440" w:type="dxa"/>
            <w:shd w:val="clear" w:color="auto" w:fill="auto"/>
          </w:tcPr>
          <w:p w:rsidR="003B1C4C" w:rsidRPr="00E1746A" w:rsidRDefault="003B1C4C" w:rsidP="00207464">
            <w:pPr>
              <w:pStyle w:val="BodyText"/>
              <w:ind w:left="90" w:right="50"/>
              <w:jc w:val="center"/>
              <w:rPr>
                <w:i/>
                <w:iCs/>
              </w:rPr>
            </w:pPr>
            <w:r w:rsidRPr="00E1746A">
              <w:rPr>
                <w:i/>
                <w:iCs/>
              </w:rPr>
              <w:t>Degree of Equivalence</w:t>
            </w:r>
          </w:p>
        </w:tc>
      </w:tr>
      <w:tr w:rsidR="003B1C4C" w:rsidRPr="009433F3" w:rsidTr="00A07A29">
        <w:trPr>
          <w:trHeight w:val="465"/>
        </w:trPr>
        <w:tc>
          <w:tcPr>
            <w:tcW w:w="3595" w:type="dxa"/>
            <w:shd w:val="clear" w:color="auto" w:fill="auto"/>
          </w:tcPr>
          <w:p w:rsidR="003B1C4C" w:rsidRPr="00E1746A" w:rsidRDefault="003B1C4C" w:rsidP="00207464">
            <w:pPr>
              <w:pStyle w:val="BodyText"/>
              <w:ind w:left="90" w:right="90"/>
              <w:jc w:val="both"/>
              <w:rPr>
                <w:i/>
                <w:iCs/>
              </w:rPr>
            </w:pPr>
            <w:r>
              <w:t>IEC 60034-1:2017, Rotating electrical machines – Part 1: Rating and performance</w:t>
            </w:r>
          </w:p>
        </w:tc>
        <w:tc>
          <w:tcPr>
            <w:tcW w:w="3960" w:type="dxa"/>
            <w:shd w:val="clear" w:color="auto" w:fill="auto"/>
          </w:tcPr>
          <w:p w:rsidR="003B1C4C" w:rsidRPr="00E1746A" w:rsidRDefault="003B1C4C" w:rsidP="00207464">
            <w:pPr>
              <w:pStyle w:val="BodyText"/>
              <w:ind w:left="90" w:right="90"/>
              <w:jc w:val="both"/>
              <w:rPr>
                <w:i/>
                <w:iCs/>
              </w:rPr>
            </w:pPr>
            <w:r w:rsidRPr="00506E3D">
              <w:t>IS 15999 (Part 1) : 2021/ IEC 60034-1: 2017 Rotating</w:t>
            </w:r>
            <w:r w:rsidR="00207464">
              <w:t xml:space="preserve"> electrical machines Part 1 </w:t>
            </w:r>
            <w:r w:rsidRPr="00506E3D">
              <w:t>Rating and performance</w:t>
            </w:r>
          </w:p>
        </w:tc>
        <w:tc>
          <w:tcPr>
            <w:tcW w:w="1440" w:type="dxa"/>
            <w:shd w:val="clear" w:color="auto" w:fill="auto"/>
          </w:tcPr>
          <w:p w:rsidR="003B1C4C" w:rsidRPr="00E1746A" w:rsidRDefault="003B1C4C" w:rsidP="00871DEC">
            <w:pPr>
              <w:pStyle w:val="BodyText"/>
              <w:ind w:left="90" w:right="50"/>
              <w:jc w:val="center"/>
              <w:rPr>
                <w:i/>
                <w:iCs/>
              </w:rP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60034-9, Rotating electrical machines – Part 9: Noise limits</w:t>
            </w:r>
          </w:p>
        </w:tc>
        <w:tc>
          <w:tcPr>
            <w:tcW w:w="3960" w:type="dxa"/>
            <w:shd w:val="clear" w:color="auto" w:fill="auto"/>
          </w:tcPr>
          <w:p w:rsidR="003B1C4C" w:rsidRPr="00506E3D" w:rsidRDefault="003B1C4C" w:rsidP="00236A76">
            <w:pPr>
              <w:pStyle w:val="BodyText"/>
              <w:ind w:left="90" w:right="90"/>
              <w:jc w:val="both"/>
            </w:pPr>
            <w:r w:rsidRPr="00203B1B">
              <w:t>IS 12065 : 1987</w:t>
            </w:r>
            <w:r w:rsidR="00236A76">
              <w:t xml:space="preserve"> </w:t>
            </w:r>
            <w:r w:rsidRPr="00203B1B">
              <w:t>Permissible limits of noise levels for rotating electrical machines</w:t>
            </w:r>
          </w:p>
        </w:tc>
        <w:tc>
          <w:tcPr>
            <w:tcW w:w="1440" w:type="dxa"/>
            <w:shd w:val="clear" w:color="auto" w:fill="auto"/>
          </w:tcPr>
          <w:p w:rsidR="003B1C4C" w:rsidRPr="00203B1B" w:rsidRDefault="003B1C4C" w:rsidP="00871DEC">
            <w:pPr>
              <w:pStyle w:val="BodyText"/>
              <w:tabs>
                <w:tab w:val="left" w:pos="3870"/>
              </w:tabs>
              <w:ind w:left="90" w:right="50"/>
              <w:jc w:val="center"/>
            </w:pPr>
            <w:r w:rsidRPr="00203B1B">
              <w:t>Technically</w:t>
            </w:r>
          </w:p>
          <w:p w:rsidR="003B1C4C" w:rsidRDefault="003B1C4C" w:rsidP="00871DEC">
            <w:pPr>
              <w:pStyle w:val="BodyText"/>
              <w:tabs>
                <w:tab w:val="left" w:pos="3870"/>
              </w:tabs>
              <w:ind w:left="90" w:right="50"/>
              <w:jc w:val="center"/>
            </w:pPr>
            <w:r w:rsidRPr="00203B1B">
              <w:t>Equivalent</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60038, IEC standard voltages</w:t>
            </w:r>
          </w:p>
        </w:tc>
        <w:tc>
          <w:tcPr>
            <w:tcW w:w="3960" w:type="dxa"/>
            <w:shd w:val="clear" w:color="auto" w:fill="auto"/>
          </w:tcPr>
          <w:p w:rsidR="003B1C4C" w:rsidRPr="00203B1B" w:rsidRDefault="00236A76" w:rsidP="00236A76">
            <w:pPr>
              <w:pStyle w:val="BodyText"/>
              <w:ind w:left="90" w:right="90"/>
              <w:jc w:val="both"/>
            </w:pPr>
            <w:r>
              <w:t xml:space="preserve">IS 12360 : 1988 </w:t>
            </w:r>
            <w:r w:rsidR="003B1C4C" w:rsidRPr="00203B1B">
              <w:t>Voltage bands for electrical installations including preferred voltages and frequency</w:t>
            </w:r>
          </w:p>
        </w:tc>
        <w:tc>
          <w:tcPr>
            <w:tcW w:w="1440" w:type="dxa"/>
            <w:shd w:val="clear" w:color="auto" w:fill="auto"/>
          </w:tcPr>
          <w:p w:rsidR="003B1C4C" w:rsidRPr="00203B1B" w:rsidRDefault="003B1C4C" w:rsidP="00871DEC">
            <w:pPr>
              <w:pStyle w:val="BodyText"/>
              <w:tabs>
                <w:tab w:val="left" w:pos="3870"/>
              </w:tabs>
              <w:ind w:left="90" w:right="50"/>
              <w:jc w:val="center"/>
            </w:pPr>
            <w:r w:rsidRPr="00203B1B">
              <w:t>Technically</w:t>
            </w:r>
          </w:p>
          <w:p w:rsidR="003B1C4C" w:rsidRPr="00203B1B" w:rsidRDefault="003B1C4C" w:rsidP="00871DEC">
            <w:pPr>
              <w:pStyle w:val="BodyText"/>
              <w:tabs>
                <w:tab w:val="left" w:pos="3870"/>
              </w:tabs>
              <w:ind w:left="90" w:right="50"/>
              <w:jc w:val="center"/>
            </w:pPr>
            <w:r w:rsidRPr="00203B1B">
              <w:t>Equivalent</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lastRenderedPageBreak/>
              <w:t>IEC 60050-151, International Electrotechnical Vocabulary (IEV) – Part 151: Electrical and magnetic devices</w:t>
            </w:r>
          </w:p>
        </w:tc>
        <w:tc>
          <w:tcPr>
            <w:tcW w:w="3960" w:type="dxa"/>
            <w:shd w:val="clear" w:color="auto" w:fill="auto"/>
          </w:tcPr>
          <w:p w:rsidR="003B1C4C" w:rsidRPr="00203B1B" w:rsidRDefault="003B1C4C" w:rsidP="00207464">
            <w:pPr>
              <w:pStyle w:val="BodyText"/>
              <w:ind w:left="90" w:right="90"/>
              <w:jc w:val="both"/>
            </w:pPr>
            <w:r w:rsidRPr="00916FCD">
              <w:t xml:space="preserve">IS 1885 (Part 74) : 2012/ IEC 60050-151 : 2001 </w:t>
            </w:r>
            <w:r w:rsidR="00207464">
              <w:t xml:space="preserve">Electrotechnical vocabulary </w:t>
            </w:r>
            <w:r w:rsidRPr="00916FCD">
              <w:t xml:space="preserve">Part 74 </w:t>
            </w:r>
            <w:r w:rsidR="00207464" w:rsidRPr="00916FCD">
              <w:t xml:space="preserve">Electrical </w:t>
            </w:r>
            <w:r w:rsidRPr="00916FCD">
              <w:t>and magnetic devices (</w:t>
            </w:r>
            <w:r w:rsidR="00207464" w:rsidRPr="00207464">
              <w:rPr>
                <w:i/>
                <w:iCs/>
              </w:rPr>
              <w:t>first revision)</w:t>
            </w:r>
          </w:p>
        </w:tc>
        <w:tc>
          <w:tcPr>
            <w:tcW w:w="1440" w:type="dxa"/>
            <w:shd w:val="clear" w:color="auto" w:fill="auto"/>
          </w:tcPr>
          <w:p w:rsidR="003B1C4C" w:rsidRPr="00203B1B"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60050-161, International Electrotechnical Vocabulary (IEV) – Part 161: Electromagnetic compatibility</w:t>
            </w:r>
          </w:p>
        </w:tc>
        <w:tc>
          <w:tcPr>
            <w:tcW w:w="3960" w:type="dxa"/>
            <w:shd w:val="clear" w:color="auto" w:fill="auto"/>
          </w:tcPr>
          <w:p w:rsidR="003B1C4C" w:rsidRPr="00916FCD" w:rsidRDefault="003B1C4C" w:rsidP="00207464">
            <w:pPr>
              <w:pStyle w:val="BodyText"/>
              <w:ind w:left="90" w:right="90"/>
              <w:jc w:val="both"/>
            </w:pPr>
            <w:r w:rsidRPr="00916FCD">
              <w:t>IS 1885 (Part 85) : 2003</w:t>
            </w:r>
            <w:r>
              <w:t>/ IEC 60050-</w:t>
            </w:r>
            <w:r w:rsidRPr="00916FCD">
              <w:t>161</w:t>
            </w:r>
            <w:r>
              <w:t xml:space="preserve"> : 1990</w:t>
            </w:r>
            <w:r w:rsidRPr="00916FCD">
              <w:t xml:space="preserve"> Electrotechnical vocabulary Part 85 electromagnetic compatibility</w:t>
            </w:r>
          </w:p>
        </w:tc>
        <w:tc>
          <w:tcPr>
            <w:tcW w:w="1440" w:type="dxa"/>
            <w:shd w:val="clear" w:color="auto" w:fill="auto"/>
          </w:tcPr>
          <w:p w:rsidR="003B1C4C"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60050-441, International Electrotechnical Vocabulary (IEV) – Part 441: Switchgear, controlgear and fuses</w:t>
            </w:r>
          </w:p>
        </w:tc>
        <w:tc>
          <w:tcPr>
            <w:tcW w:w="3960" w:type="dxa"/>
            <w:shd w:val="clear" w:color="auto" w:fill="auto"/>
          </w:tcPr>
          <w:p w:rsidR="003B1C4C" w:rsidRPr="00203B1B" w:rsidRDefault="003B1C4C" w:rsidP="00207464">
            <w:pPr>
              <w:pStyle w:val="BodyText"/>
              <w:ind w:left="90" w:right="90"/>
              <w:jc w:val="both"/>
            </w:pPr>
            <w:r w:rsidRPr="00994612">
              <w:t xml:space="preserve">IS 1885 (Part 17) : 2024/ IEC 60050-441: 1984 Electrotechnical </w:t>
            </w:r>
            <w:r w:rsidR="00207464" w:rsidRPr="00994612">
              <w:t xml:space="preserve">vocabulary </w:t>
            </w:r>
            <w:r w:rsidRPr="00994612">
              <w:t xml:space="preserve">Part 17 Switchgear and </w:t>
            </w:r>
            <w:r w:rsidR="00207464" w:rsidRPr="00994612">
              <w:t>control g</w:t>
            </w:r>
            <w:r w:rsidRPr="00994612">
              <w:t>ear (</w:t>
            </w:r>
            <w:r w:rsidR="00207464" w:rsidRPr="00207464">
              <w:rPr>
                <w:i/>
                <w:iCs/>
              </w:rPr>
              <w:t>second revision)</w:t>
            </w:r>
          </w:p>
        </w:tc>
        <w:tc>
          <w:tcPr>
            <w:tcW w:w="1440" w:type="dxa"/>
            <w:shd w:val="clear" w:color="auto" w:fill="auto"/>
          </w:tcPr>
          <w:p w:rsidR="003B1C4C" w:rsidRPr="00203B1B"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60050-551, International Electrotechnical Vocabulary (IEV) – Part 551: Power electronics</w:t>
            </w:r>
          </w:p>
        </w:tc>
        <w:tc>
          <w:tcPr>
            <w:tcW w:w="3960" w:type="dxa"/>
            <w:shd w:val="clear" w:color="auto" w:fill="auto"/>
          </w:tcPr>
          <w:p w:rsidR="003B1C4C" w:rsidRPr="00994612" w:rsidRDefault="003B1C4C" w:rsidP="00207464">
            <w:pPr>
              <w:pStyle w:val="BodyText"/>
              <w:ind w:left="90" w:right="90"/>
              <w:jc w:val="both"/>
            </w:pPr>
            <w:r w:rsidRPr="00994612">
              <w:t>IS 1885 (Part 27) : 2008/ IEC 60050-551</w:t>
            </w:r>
            <w:r w:rsidR="00207464">
              <w:t xml:space="preserve"> </w:t>
            </w:r>
            <w:r w:rsidRPr="00994612">
              <w:t>:</w:t>
            </w:r>
            <w:r w:rsidR="00207464">
              <w:t xml:space="preserve"> </w:t>
            </w:r>
            <w:r w:rsidRPr="00994612">
              <w:t xml:space="preserve">1998 Electrotechnical vocabulary Part 27 </w:t>
            </w:r>
            <w:r w:rsidR="00207464" w:rsidRPr="00994612">
              <w:t xml:space="preserve">Power </w:t>
            </w:r>
            <w:r w:rsidRPr="00994612">
              <w:t xml:space="preserve">electronics </w:t>
            </w:r>
            <w:r w:rsidR="00207464" w:rsidRPr="00207464">
              <w:rPr>
                <w:i/>
                <w:iCs/>
              </w:rPr>
              <w:t>(third revision)</w:t>
            </w:r>
          </w:p>
        </w:tc>
        <w:tc>
          <w:tcPr>
            <w:tcW w:w="1440" w:type="dxa"/>
            <w:shd w:val="clear" w:color="auto" w:fill="auto"/>
          </w:tcPr>
          <w:p w:rsidR="003B1C4C"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60050-601, International Electrotechnical Vocabulary (IEV) – Part 601: Generation, transmission and distribution of electricity – General</w:t>
            </w:r>
          </w:p>
        </w:tc>
        <w:tc>
          <w:tcPr>
            <w:tcW w:w="3960" w:type="dxa"/>
            <w:shd w:val="clear" w:color="auto" w:fill="auto"/>
          </w:tcPr>
          <w:p w:rsidR="003B1C4C" w:rsidRPr="00994612" w:rsidRDefault="003B1C4C" w:rsidP="00207464">
            <w:pPr>
              <w:pStyle w:val="BodyText"/>
              <w:ind w:left="90" w:right="90"/>
              <w:jc w:val="both"/>
            </w:pPr>
            <w:r w:rsidRPr="00994612">
              <w:rPr>
                <w:rFonts w:ascii="Segoe UI" w:hAnsi="Segoe UI" w:cs="Segoe UI"/>
                <w:color w:val="000000"/>
                <w:shd w:val="clear" w:color="auto" w:fill="FFFFFF"/>
              </w:rPr>
              <w:t>I</w:t>
            </w:r>
            <w:r w:rsidRPr="00994612">
              <w:t xml:space="preserve">S 1885 (Part 30) : 2023/ IEC 60050-601: 1985 Electrotechnical </w:t>
            </w:r>
            <w:r w:rsidR="00207464" w:rsidRPr="00994612">
              <w:t xml:space="preserve">vocabulary </w:t>
            </w:r>
            <w:r w:rsidRPr="00994612">
              <w:t>Part 30 Overhead transmission and distribution of electrical energy</w:t>
            </w:r>
          </w:p>
        </w:tc>
        <w:tc>
          <w:tcPr>
            <w:tcW w:w="1440" w:type="dxa"/>
            <w:shd w:val="clear" w:color="auto" w:fill="auto"/>
          </w:tcPr>
          <w:p w:rsidR="003B1C4C"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60068 (all parts), Environmental testing</w:t>
            </w:r>
          </w:p>
        </w:tc>
        <w:tc>
          <w:tcPr>
            <w:tcW w:w="3960" w:type="dxa"/>
            <w:shd w:val="clear" w:color="auto" w:fill="auto"/>
          </w:tcPr>
          <w:p w:rsidR="003B1C4C" w:rsidRPr="00203B1B" w:rsidRDefault="003B1C4C" w:rsidP="00207464">
            <w:pPr>
              <w:pStyle w:val="BodyText"/>
              <w:ind w:left="90" w:right="90"/>
              <w:jc w:val="both"/>
            </w:pPr>
            <w:r>
              <w:t>IS/ IEC 60068 Series Environmental testing</w:t>
            </w:r>
          </w:p>
        </w:tc>
        <w:tc>
          <w:tcPr>
            <w:tcW w:w="1440" w:type="dxa"/>
            <w:shd w:val="clear" w:color="auto" w:fill="auto"/>
          </w:tcPr>
          <w:p w:rsidR="003B1C4C" w:rsidRPr="00203B1B"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60068-2-27:2008, Environmental testing – Part 2-27: Tests – Test Ea and guidance: Shock</w:t>
            </w:r>
          </w:p>
        </w:tc>
        <w:tc>
          <w:tcPr>
            <w:tcW w:w="3960" w:type="dxa"/>
            <w:shd w:val="clear" w:color="auto" w:fill="auto"/>
          </w:tcPr>
          <w:p w:rsidR="003B1C4C" w:rsidRDefault="003B1C4C" w:rsidP="00207464">
            <w:pPr>
              <w:pStyle w:val="BodyText"/>
              <w:ind w:left="90" w:right="90"/>
              <w:jc w:val="both"/>
            </w:pPr>
            <w:r w:rsidRPr="000D75C0">
              <w:t>IS 9000 (Part 7/Sec 1) : 2018</w:t>
            </w:r>
            <w:r>
              <w:t xml:space="preserve">/ </w:t>
            </w:r>
            <w:r w:rsidRPr="000D75C0">
              <w:t xml:space="preserve">IEC 60068-2-27 : 2008 Basic environmental testing procedures for electronic and electrical items Part 7 </w:t>
            </w:r>
            <w:r w:rsidR="00207464" w:rsidRPr="000D75C0">
              <w:t xml:space="preserve">Impact </w:t>
            </w:r>
            <w:r w:rsidRPr="000D75C0">
              <w:t>test Sec 1 shock (Test Ea) (</w:t>
            </w:r>
            <w:r w:rsidR="00207464" w:rsidRPr="00207464">
              <w:rPr>
                <w:i/>
                <w:iCs/>
              </w:rPr>
              <w:t>second revision</w:t>
            </w:r>
            <w:r w:rsidR="00207464" w:rsidRPr="000D75C0">
              <w:t>)</w:t>
            </w:r>
          </w:p>
        </w:tc>
        <w:tc>
          <w:tcPr>
            <w:tcW w:w="1440" w:type="dxa"/>
            <w:shd w:val="clear" w:color="auto" w:fill="auto"/>
          </w:tcPr>
          <w:p w:rsidR="003B1C4C"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60076 (all parts), Power transformers</w:t>
            </w:r>
          </w:p>
        </w:tc>
        <w:tc>
          <w:tcPr>
            <w:tcW w:w="3960" w:type="dxa"/>
            <w:shd w:val="clear" w:color="auto" w:fill="auto"/>
          </w:tcPr>
          <w:p w:rsidR="003B1C4C" w:rsidRDefault="003B1C4C" w:rsidP="00207464">
            <w:pPr>
              <w:pStyle w:val="BodyText"/>
              <w:ind w:left="90" w:right="90"/>
              <w:jc w:val="both"/>
            </w:pPr>
            <w:r w:rsidRPr="00C8741A">
              <w:t>IS 2026/</w:t>
            </w:r>
            <w:r>
              <w:t xml:space="preserve"> IEC 60076 (Series) </w:t>
            </w:r>
            <w:r w:rsidRPr="00C8741A">
              <w:t xml:space="preserve">Power transformers </w:t>
            </w:r>
          </w:p>
        </w:tc>
        <w:tc>
          <w:tcPr>
            <w:tcW w:w="1440" w:type="dxa"/>
            <w:shd w:val="clear" w:color="auto" w:fill="auto"/>
          </w:tcPr>
          <w:p w:rsidR="003B1C4C"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60079 (all parts), Explosive atmospheres</w:t>
            </w:r>
          </w:p>
        </w:tc>
        <w:tc>
          <w:tcPr>
            <w:tcW w:w="3960" w:type="dxa"/>
            <w:shd w:val="clear" w:color="auto" w:fill="auto"/>
          </w:tcPr>
          <w:p w:rsidR="003B1C4C" w:rsidRDefault="003B1C4C" w:rsidP="00207464">
            <w:pPr>
              <w:pStyle w:val="BodyText"/>
              <w:ind w:left="90" w:right="90"/>
              <w:jc w:val="both"/>
            </w:pPr>
            <w:r>
              <w:t>IS/ IEC 60079 (Series) Explosive atmospheres</w:t>
            </w:r>
          </w:p>
        </w:tc>
        <w:tc>
          <w:tcPr>
            <w:tcW w:w="1440" w:type="dxa"/>
            <w:shd w:val="clear" w:color="auto" w:fill="auto"/>
          </w:tcPr>
          <w:p w:rsidR="003B1C4C"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60146-1-1:2009, Semiconductor converters – General requirement and line commutated converters – Part 1-1: Specification of basic requirements</w:t>
            </w:r>
          </w:p>
        </w:tc>
        <w:tc>
          <w:tcPr>
            <w:tcW w:w="3960" w:type="dxa"/>
            <w:shd w:val="clear" w:color="auto" w:fill="auto"/>
          </w:tcPr>
          <w:p w:rsidR="003B1C4C" w:rsidRDefault="003B1C4C" w:rsidP="00207464">
            <w:pPr>
              <w:pStyle w:val="BodyText"/>
              <w:ind w:left="90" w:right="90"/>
              <w:jc w:val="both"/>
            </w:pPr>
            <w:r w:rsidRPr="00C8741A">
              <w:t>IS 16539 (Part 1/Sec 1) : 2017</w:t>
            </w:r>
            <w:r w:rsidRPr="00C8741A">
              <w:br/>
              <w:t xml:space="preserve">IEC 60146-1-1 : 2009/ Semiconductor </w:t>
            </w:r>
            <w:r w:rsidR="00207464" w:rsidRPr="00C8741A">
              <w:t xml:space="preserve">converters </w:t>
            </w:r>
            <w:r w:rsidRPr="00C8741A">
              <w:t xml:space="preserve">Part 1 General and </w:t>
            </w:r>
            <w:r w:rsidR="00207464" w:rsidRPr="00C8741A">
              <w:t xml:space="preserve">line commutated converters </w:t>
            </w:r>
            <w:r w:rsidRPr="00C8741A">
              <w:t>Section 1 Specification of basic requirements</w:t>
            </w:r>
          </w:p>
        </w:tc>
        <w:tc>
          <w:tcPr>
            <w:tcW w:w="1440" w:type="dxa"/>
            <w:shd w:val="clear" w:color="auto" w:fill="auto"/>
          </w:tcPr>
          <w:p w:rsidR="003B1C4C"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60721-3-0, Classification of environmental conditions – Part 3: Classification of groups of environmental parameters and their severities – Introduction</w:t>
            </w:r>
          </w:p>
        </w:tc>
        <w:tc>
          <w:tcPr>
            <w:tcW w:w="3960" w:type="dxa"/>
            <w:shd w:val="clear" w:color="auto" w:fill="auto"/>
          </w:tcPr>
          <w:p w:rsidR="003B1C4C" w:rsidRPr="00C8741A" w:rsidRDefault="003B1C4C" w:rsidP="00207464">
            <w:pPr>
              <w:pStyle w:val="BodyText"/>
              <w:ind w:left="90" w:right="90"/>
              <w:jc w:val="both"/>
            </w:pPr>
            <w:r w:rsidRPr="000D75C0">
              <w:t>IS/IEC 60721-3-0) : 2020 Classification of Environmental Conditions Part 3 Classification of groups of environmental parameters and their severities Section 0 Introduction</w:t>
            </w:r>
          </w:p>
        </w:tc>
        <w:tc>
          <w:tcPr>
            <w:tcW w:w="1440" w:type="dxa"/>
            <w:shd w:val="clear" w:color="auto" w:fill="auto"/>
          </w:tcPr>
          <w:p w:rsidR="003B1C4C"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60721-3-1:1997, Classification of environmental conditions – Part 3: Classification of groups of environmental parameters and their severities – Section 1: Storage</w:t>
            </w:r>
          </w:p>
        </w:tc>
        <w:tc>
          <w:tcPr>
            <w:tcW w:w="3960" w:type="dxa"/>
            <w:shd w:val="clear" w:color="auto" w:fill="auto"/>
          </w:tcPr>
          <w:p w:rsidR="003B1C4C" w:rsidRPr="000D75C0" w:rsidRDefault="003B1C4C" w:rsidP="00207464">
            <w:pPr>
              <w:pStyle w:val="BodyText"/>
              <w:ind w:left="90" w:right="90"/>
              <w:jc w:val="both"/>
            </w:pPr>
            <w:r w:rsidRPr="000D75C0">
              <w:t>IS/IEC 60721-3-1) : 2018</w:t>
            </w:r>
            <w:r w:rsidRPr="000D75C0">
              <w:br/>
              <w:t>Classification of Environmental Conditions Part 3 Classification of groups of environmental parameters and their severities Section 1 Storage</w:t>
            </w:r>
          </w:p>
        </w:tc>
        <w:tc>
          <w:tcPr>
            <w:tcW w:w="1440" w:type="dxa"/>
            <w:shd w:val="clear" w:color="auto" w:fill="auto"/>
          </w:tcPr>
          <w:p w:rsidR="003B1C4C" w:rsidRDefault="003B1C4C" w:rsidP="00871DEC">
            <w:pPr>
              <w:pStyle w:val="BodyText"/>
              <w:tabs>
                <w:tab w:val="left" w:pos="3870"/>
              </w:tabs>
              <w:ind w:left="90" w:right="50"/>
              <w:jc w:val="center"/>
            </w:pPr>
            <w:r w:rsidRPr="001304E4">
              <w:t>Identical</w:t>
            </w:r>
          </w:p>
        </w:tc>
      </w:tr>
      <w:tr w:rsidR="003B1C4C" w:rsidRPr="009433F3" w:rsidTr="00A07A29">
        <w:trPr>
          <w:trHeight w:val="1460"/>
        </w:trPr>
        <w:tc>
          <w:tcPr>
            <w:tcW w:w="3595" w:type="dxa"/>
            <w:shd w:val="clear" w:color="auto" w:fill="auto"/>
          </w:tcPr>
          <w:p w:rsidR="003B1C4C" w:rsidRDefault="003B1C4C" w:rsidP="00207464">
            <w:pPr>
              <w:pStyle w:val="BodyText"/>
              <w:ind w:left="90" w:right="90"/>
              <w:jc w:val="both"/>
            </w:pPr>
            <w:r>
              <w:lastRenderedPageBreak/>
              <w:t>IEC 60721-3-2:1997, Classification of environmental conditions – Part 3: Classification of groups of environmental parameters and their severities – Section 2: Transportation</w:t>
            </w:r>
          </w:p>
        </w:tc>
        <w:tc>
          <w:tcPr>
            <w:tcW w:w="3960" w:type="dxa"/>
            <w:shd w:val="clear" w:color="auto" w:fill="auto"/>
          </w:tcPr>
          <w:p w:rsidR="003B1C4C" w:rsidRPr="000D75C0" w:rsidRDefault="003B1C4C" w:rsidP="00207464">
            <w:pPr>
              <w:pStyle w:val="BodyText"/>
              <w:ind w:left="90" w:right="90"/>
              <w:jc w:val="both"/>
            </w:pPr>
            <w:r w:rsidRPr="000D75C0">
              <w:t xml:space="preserve">IS/IEC 60721-3-2) : 2018 </w:t>
            </w:r>
            <w:r w:rsidR="00207464">
              <w:t>C</w:t>
            </w:r>
            <w:r w:rsidRPr="000D75C0">
              <w:t xml:space="preserve">lassification of </w:t>
            </w:r>
            <w:r w:rsidR="00207464" w:rsidRPr="000D75C0">
              <w:t xml:space="preserve">environmental conditions </w:t>
            </w:r>
            <w:r w:rsidRPr="000D75C0">
              <w:t xml:space="preserve">Part 3 Classification of groups of environmental parameters and their severities Section 1 Transportation and </w:t>
            </w:r>
            <w:r w:rsidR="00207464" w:rsidRPr="000D75C0">
              <w:t>handling</w:t>
            </w:r>
          </w:p>
        </w:tc>
        <w:tc>
          <w:tcPr>
            <w:tcW w:w="1440" w:type="dxa"/>
            <w:shd w:val="clear" w:color="auto" w:fill="auto"/>
          </w:tcPr>
          <w:p w:rsidR="003B1C4C" w:rsidRPr="001304E4" w:rsidRDefault="003B1C4C" w:rsidP="00871DEC">
            <w:pPr>
              <w:pStyle w:val="BodyText"/>
              <w:tabs>
                <w:tab w:val="left" w:pos="3870"/>
              </w:tabs>
              <w:ind w:left="90" w:right="50"/>
              <w:jc w:val="center"/>
            </w:pPr>
            <w:r w:rsidRPr="001304E4">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60721-3-3:1994, Classification of environmental conditions – Part 3: Classification of groups of environmental parameters and their severities – Section 3: Stationary use at weather protected locations</w:t>
            </w:r>
          </w:p>
        </w:tc>
        <w:tc>
          <w:tcPr>
            <w:tcW w:w="3960" w:type="dxa"/>
            <w:shd w:val="clear" w:color="auto" w:fill="auto"/>
          </w:tcPr>
          <w:p w:rsidR="003B1C4C" w:rsidRPr="000D75C0" w:rsidRDefault="003B1C4C" w:rsidP="00207464">
            <w:pPr>
              <w:pStyle w:val="BodyText"/>
              <w:ind w:left="90" w:right="90"/>
              <w:jc w:val="both"/>
            </w:pPr>
            <w:r w:rsidRPr="002941A1">
              <w:t xml:space="preserve">IS/IEC 60721-3-3) : 2019 Classification of </w:t>
            </w:r>
            <w:r w:rsidR="00207464" w:rsidRPr="002941A1">
              <w:t xml:space="preserve">environmental conditions </w:t>
            </w:r>
            <w:r w:rsidRPr="002941A1">
              <w:t>Part 3 Classification of groups of environmental parameters and their severities Section 3 Stationary use at weather</w:t>
            </w:r>
            <w:r w:rsidR="00207464">
              <w:t xml:space="preserve"> </w:t>
            </w:r>
            <w:r w:rsidRPr="002941A1">
              <w:t>protected locations</w:t>
            </w:r>
          </w:p>
        </w:tc>
        <w:tc>
          <w:tcPr>
            <w:tcW w:w="1440" w:type="dxa"/>
            <w:shd w:val="clear" w:color="auto" w:fill="auto"/>
          </w:tcPr>
          <w:p w:rsidR="003B1C4C" w:rsidRPr="001304E4" w:rsidRDefault="003B1C4C" w:rsidP="00871DEC">
            <w:pPr>
              <w:pStyle w:val="BodyText"/>
              <w:tabs>
                <w:tab w:val="left" w:pos="3870"/>
              </w:tabs>
              <w:ind w:left="90" w:right="50"/>
              <w:jc w:val="center"/>
            </w:pPr>
            <w:r w:rsidRPr="001304E4">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60721-3-4:1995, Classification of environmental conditions – Part 3: Classification of groups of environmental parameters and their severities – Section 4: Stationary use at nonweather protected locations</w:t>
            </w:r>
          </w:p>
        </w:tc>
        <w:tc>
          <w:tcPr>
            <w:tcW w:w="3960" w:type="dxa"/>
            <w:shd w:val="clear" w:color="auto" w:fill="auto"/>
          </w:tcPr>
          <w:p w:rsidR="003B1C4C" w:rsidRPr="002941A1" w:rsidRDefault="003B1C4C" w:rsidP="00207464">
            <w:pPr>
              <w:pStyle w:val="BodyText"/>
              <w:ind w:left="90" w:right="90"/>
              <w:jc w:val="both"/>
            </w:pPr>
            <w:r w:rsidRPr="00EB5E15">
              <w:t xml:space="preserve">IS/IEC 60721-3-4) : 2019 Classification of </w:t>
            </w:r>
            <w:r w:rsidR="00207464" w:rsidRPr="00EB5E15">
              <w:t xml:space="preserve">environmental conditions </w:t>
            </w:r>
            <w:r w:rsidRPr="00EB5E15">
              <w:t>Part 3 Classification of groups of environmental parameters and their severities Section 4 Stationary use at non- weather</w:t>
            </w:r>
            <w:r w:rsidR="00207464">
              <w:t xml:space="preserve"> </w:t>
            </w:r>
            <w:r w:rsidRPr="00EB5E15">
              <w:t>protected locations</w:t>
            </w:r>
          </w:p>
        </w:tc>
        <w:tc>
          <w:tcPr>
            <w:tcW w:w="1440" w:type="dxa"/>
            <w:shd w:val="clear" w:color="auto" w:fill="auto"/>
          </w:tcPr>
          <w:p w:rsidR="003B1C4C" w:rsidRPr="001304E4" w:rsidRDefault="003B1C4C" w:rsidP="00871DEC">
            <w:pPr>
              <w:pStyle w:val="BodyText"/>
              <w:tabs>
                <w:tab w:val="left" w:pos="3870"/>
              </w:tabs>
              <w:ind w:left="90" w:right="50"/>
              <w:jc w:val="center"/>
            </w:pPr>
            <w:r w:rsidRPr="001304E4">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61800-3, Adjustable speed electrical power drive systems – Part 3: EMC requirements and specific test methods</w:t>
            </w:r>
          </w:p>
        </w:tc>
        <w:tc>
          <w:tcPr>
            <w:tcW w:w="3960" w:type="dxa"/>
            <w:shd w:val="clear" w:color="auto" w:fill="auto"/>
          </w:tcPr>
          <w:p w:rsidR="003B1C4C" w:rsidRPr="00AA6B85" w:rsidRDefault="003B1C4C" w:rsidP="00207464">
            <w:pPr>
              <w:pStyle w:val="BodyText"/>
              <w:ind w:left="90" w:right="90"/>
              <w:jc w:val="both"/>
            </w:pPr>
            <w:r w:rsidRPr="00AA6B85">
              <w:t xml:space="preserve">IS/IEC 61800-3 : 2017 Adjustable </w:t>
            </w:r>
            <w:r w:rsidR="00207464" w:rsidRPr="00AA6B85">
              <w:t>speed electrical power drive systems</w:t>
            </w:r>
            <w:r w:rsidRPr="00AA6B85">
              <w:t xml:space="preserve"> Part 3 EMC </w:t>
            </w:r>
            <w:r w:rsidR="00207464" w:rsidRPr="00AA6B85">
              <w:t xml:space="preserve">requirements </w:t>
            </w:r>
            <w:r w:rsidRPr="00AA6B85">
              <w:t xml:space="preserve">and </w:t>
            </w:r>
            <w:r w:rsidR="00207464" w:rsidRPr="00AA6B85">
              <w:t>specific test methods</w:t>
            </w:r>
          </w:p>
        </w:tc>
        <w:tc>
          <w:tcPr>
            <w:tcW w:w="1440" w:type="dxa"/>
            <w:shd w:val="clear" w:color="auto" w:fill="auto"/>
          </w:tcPr>
          <w:p w:rsidR="003B1C4C"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61800-5-1, Adjustable speed electrical power drive systems – Part 5-1: Safety requirements – Electrical, thermal and energy</w:t>
            </w:r>
          </w:p>
        </w:tc>
        <w:tc>
          <w:tcPr>
            <w:tcW w:w="3960" w:type="dxa"/>
            <w:shd w:val="clear" w:color="auto" w:fill="auto"/>
          </w:tcPr>
          <w:p w:rsidR="003B1C4C" w:rsidRPr="00AA6B85" w:rsidRDefault="003B1C4C" w:rsidP="00207464">
            <w:pPr>
              <w:pStyle w:val="BodyText"/>
              <w:ind w:left="90" w:right="90"/>
              <w:jc w:val="both"/>
            </w:pPr>
            <w:r w:rsidRPr="00AA6B85">
              <w:t xml:space="preserve">IS/IEC 61800-5-1) : 2016 Adjustable </w:t>
            </w:r>
            <w:r w:rsidR="00207464" w:rsidRPr="00AA6B85">
              <w:t xml:space="preserve">speed electrical power drive systems </w:t>
            </w:r>
            <w:r w:rsidRPr="00AA6B85">
              <w:t xml:space="preserve">Part 5 Safety </w:t>
            </w:r>
            <w:r w:rsidR="00207464" w:rsidRPr="00AA6B85">
              <w:t xml:space="preserve">requirements </w:t>
            </w:r>
            <w:r w:rsidRPr="00AA6B85">
              <w:t>Section 1 Electrical, thermal and energy</w:t>
            </w:r>
          </w:p>
        </w:tc>
        <w:tc>
          <w:tcPr>
            <w:tcW w:w="1440" w:type="dxa"/>
            <w:shd w:val="clear" w:color="auto" w:fill="auto"/>
          </w:tcPr>
          <w:p w:rsidR="003B1C4C"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61800-5-2, Adjustable speed electrical power drive systems – Part 5-2: Safety requirements – Functional</w:t>
            </w:r>
          </w:p>
        </w:tc>
        <w:tc>
          <w:tcPr>
            <w:tcW w:w="3960" w:type="dxa"/>
            <w:shd w:val="clear" w:color="auto" w:fill="auto"/>
          </w:tcPr>
          <w:p w:rsidR="003B1C4C" w:rsidRPr="00AA6B85" w:rsidRDefault="003B1C4C" w:rsidP="00207464">
            <w:pPr>
              <w:pStyle w:val="BodyText"/>
              <w:ind w:left="90" w:right="90"/>
              <w:jc w:val="both"/>
            </w:pPr>
            <w:r w:rsidRPr="00AA6B85">
              <w:t xml:space="preserve">IS/IEC 61800-5-2) : 2020 Adjustable </w:t>
            </w:r>
            <w:r w:rsidR="0055312F" w:rsidRPr="00AA6B85">
              <w:t xml:space="preserve">speed electrical power drive systems </w:t>
            </w:r>
            <w:r w:rsidRPr="00AA6B85">
              <w:t xml:space="preserve">Part 5 Safety </w:t>
            </w:r>
            <w:r w:rsidR="0055312F" w:rsidRPr="00AA6B85">
              <w:t xml:space="preserve">requirements </w:t>
            </w:r>
            <w:r w:rsidRPr="00AA6B85">
              <w:t>Section 2 Functional</w:t>
            </w:r>
          </w:p>
        </w:tc>
        <w:tc>
          <w:tcPr>
            <w:tcW w:w="1440" w:type="dxa"/>
            <w:shd w:val="clear" w:color="auto" w:fill="auto"/>
          </w:tcPr>
          <w:p w:rsidR="003B1C4C" w:rsidRDefault="003B1C4C" w:rsidP="00871DEC">
            <w:pPr>
              <w:pStyle w:val="BodyText"/>
              <w:tabs>
                <w:tab w:val="left" w:pos="3870"/>
              </w:tabs>
              <w:ind w:left="90" w:right="50"/>
              <w:jc w:val="center"/>
            </w:pPr>
            <w:r>
              <w:t>Identical</w:t>
            </w:r>
          </w:p>
        </w:tc>
      </w:tr>
      <w:tr w:rsidR="003B1C4C" w:rsidRPr="009433F3" w:rsidTr="00A07A29">
        <w:trPr>
          <w:trHeight w:val="465"/>
        </w:trPr>
        <w:tc>
          <w:tcPr>
            <w:tcW w:w="3595" w:type="dxa"/>
            <w:shd w:val="clear" w:color="auto" w:fill="auto"/>
          </w:tcPr>
          <w:p w:rsidR="003B1C4C" w:rsidRDefault="003B1C4C" w:rsidP="00207464">
            <w:pPr>
              <w:pStyle w:val="BodyText"/>
              <w:ind w:left="90" w:right="90"/>
              <w:jc w:val="both"/>
            </w:pPr>
            <w:r>
              <w:t>IEC TR 61800-6, Adjustable speed electrical power drive systems – Part 6: Guide for determination of types of load duty and corresponding current ratings</w:t>
            </w:r>
          </w:p>
        </w:tc>
        <w:tc>
          <w:tcPr>
            <w:tcW w:w="3960" w:type="dxa"/>
            <w:shd w:val="clear" w:color="auto" w:fill="auto"/>
          </w:tcPr>
          <w:p w:rsidR="003B1C4C" w:rsidRPr="00AA6B85" w:rsidRDefault="003B1C4C" w:rsidP="00207464">
            <w:pPr>
              <w:pStyle w:val="BodyText"/>
              <w:ind w:left="90" w:right="90"/>
              <w:jc w:val="both"/>
            </w:pPr>
            <w:r w:rsidRPr="00AA6B85">
              <w:t>IS 17123 (Part 6) : 2019/ IEC TR 61800-6 : 2003 Adjustable speed</w:t>
            </w:r>
            <w:r w:rsidR="0055312F">
              <w:t xml:space="preserve"> electrical power drive systems</w:t>
            </w:r>
            <w:r w:rsidRPr="00AA6B85">
              <w:t xml:space="preserve"> Part 6 </w:t>
            </w:r>
            <w:r w:rsidR="0055312F" w:rsidRPr="00AA6B85">
              <w:t xml:space="preserve">Guide </w:t>
            </w:r>
            <w:r w:rsidRPr="00AA6B85">
              <w:t>for determination of types of load duty and corresponding current ratings</w:t>
            </w:r>
          </w:p>
        </w:tc>
        <w:tc>
          <w:tcPr>
            <w:tcW w:w="1440" w:type="dxa"/>
            <w:shd w:val="clear" w:color="auto" w:fill="auto"/>
          </w:tcPr>
          <w:p w:rsidR="003B1C4C" w:rsidRDefault="003B1C4C" w:rsidP="00871DEC">
            <w:pPr>
              <w:pStyle w:val="BodyText"/>
              <w:tabs>
                <w:tab w:val="left" w:pos="3870"/>
              </w:tabs>
              <w:ind w:left="90" w:right="50"/>
              <w:jc w:val="center"/>
            </w:pPr>
            <w:r>
              <w:t>Identical</w:t>
            </w:r>
          </w:p>
        </w:tc>
      </w:tr>
    </w:tbl>
    <w:p w:rsidR="003B1C4C" w:rsidRDefault="003B1C4C" w:rsidP="003B1C4C">
      <w:pPr>
        <w:pStyle w:val="BodyText"/>
        <w:spacing w:line="244" w:lineRule="auto"/>
        <w:ind w:right="20"/>
        <w:jc w:val="both"/>
      </w:pPr>
    </w:p>
    <w:p w:rsidR="003B1C4C" w:rsidRDefault="003B1C4C" w:rsidP="003B1C4C">
      <w:pPr>
        <w:pStyle w:val="BodyText"/>
        <w:jc w:val="both"/>
      </w:pPr>
      <w:r w:rsidRPr="009433F3">
        <w:t>The technical committee has reviewed the provision of the following International Standard referred in this adopted standard and has decided that it is acceptable for use</w:t>
      </w:r>
      <w:r>
        <w:t xml:space="preserve"> </w:t>
      </w:r>
      <w:r w:rsidRPr="009433F3">
        <w:t>in conjunction with this standard:</w:t>
      </w:r>
    </w:p>
    <w:p w:rsidR="003B1C4C" w:rsidRPr="009433F3" w:rsidRDefault="003B1C4C" w:rsidP="003B1C4C">
      <w:pPr>
        <w:pStyle w:val="BodyText"/>
        <w:jc w:val="both"/>
      </w:pPr>
    </w:p>
    <w:tbl>
      <w:tblPr>
        <w:tblStyle w:val="TableGrid"/>
        <w:tblW w:w="9000" w:type="dxa"/>
        <w:tblInd w:w="108" w:type="dxa"/>
        <w:tblLook w:val="04A0" w:firstRow="1" w:lastRow="0" w:firstColumn="1" w:lastColumn="0" w:noHBand="0" w:noVBand="1"/>
      </w:tblPr>
      <w:tblGrid>
        <w:gridCol w:w="2610"/>
        <w:gridCol w:w="6390"/>
      </w:tblGrid>
      <w:tr w:rsidR="003B1C4C" w:rsidRPr="009433F3" w:rsidTr="00EB07FB">
        <w:trPr>
          <w:trHeight w:val="323"/>
        </w:trPr>
        <w:tc>
          <w:tcPr>
            <w:tcW w:w="2610" w:type="dxa"/>
          </w:tcPr>
          <w:p w:rsidR="003B1C4C" w:rsidRPr="008F1D16" w:rsidRDefault="003B1C4C" w:rsidP="00871DEC">
            <w:pPr>
              <w:pStyle w:val="BodyText"/>
              <w:jc w:val="center"/>
              <w:rPr>
                <w:i/>
                <w:iCs/>
              </w:rPr>
            </w:pPr>
            <w:r w:rsidRPr="008F1D16">
              <w:rPr>
                <w:i/>
                <w:iCs/>
              </w:rPr>
              <w:t>International Standard</w:t>
            </w:r>
          </w:p>
        </w:tc>
        <w:tc>
          <w:tcPr>
            <w:tcW w:w="6390" w:type="dxa"/>
          </w:tcPr>
          <w:p w:rsidR="003B1C4C" w:rsidRPr="008F1D16" w:rsidRDefault="003B1C4C" w:rsidP="00871DEC">
            <w:pPr>
              <w:pStyle w:val="BodyText"/>
              <w:jc w:val="center"/>
              <w:rPr>
                <w:i/>
                <w:iCs/>
              </w:rPr>
            </w:pPr>
            <w:r w:rsidRPr="008F1D16">
              <w:rPr>
                <w:i/>
                <w:iCs/>
              </w:rPr>
              <w:t>Title</w:t>
            </w:r>
          </w:p>
        </w:tc>
      </w:tr>
      <w:tr w:rsidR="003B1C4C" w:rsidRPr="009433F3" w:rsidTr="00EB07FB">
        <w:trPr>
          <w:trHeight w:val="323"/>
        </w:trPr>
        <w:tc>
          <w:tcPr>
            <w:tcW w:w="2610" w:type="dxa"/>
          </w:tcPr>
          <w:p w:rsidR="003B1C4C" w:rsidRPr="009C4EAA" w:rsidRDefault="003B1C4C" w:rsidP="00871DEC">
            <w:pPr>
              <w:pStyle w:val="BodyText"/>
            </w:pPr>
            <w:r>
              <w:t>IEC 60050-112</w:t>
            </w:r>
          </w:p>
        </w:tc>
        <w:tc>
          <w:tcPr>
            <w:tcW w:w="6390" w:type="dxa"/>
          </w:tcPr>
          <w:p w:rsidR="003B1C4C" w:rsidRPr="009C4EAA" w:rsidRDefault="003B1C4C" w:rsidP="00871DEC">
            <w:pPr>
              <w:pStyle w:val="BodyText"/>
              <w:jc w:val="both"/>
            </w:pPr>
            <w:r>
              <w:t>International Electrotechnical Vocabulary (IEV) – Part 112: Quantities and units</w:t>
            </w:r>
          </w:p>
        </w:tc>
      </w:tr>
      <w:tr w:rsidR="003B1C4C" w:rsidRPr="009433F3" w:rsidTr="00EB07FB">
        <w:trPr>
          <w:trHeight w:val="632"/>
        </w:trPr>
        <w:tc>
          <w:tcPr>
            <w:tcW w:w="2610" w:type="dxa"/>
          </w:tcPr>
          <w:p w:rsidR="003B1C4C" w:rsidRDefault="003B1C4C" w:rsidP="00871DEC">
            <w:pPr>
              <w:pStyle w:val="BodyText"/>
            </w:pPr>
            <w:r>
              <w:t>IEC 60050-113:2011</w:t>
            </w:r>
          </w:p>
        </w:tc>
        <w:tc>
          <w:tcPr>
            <w:tcW w:w="6390" w:type="dxa"/>
          </w:tcPr>
          <w:p w:rsidR="003B1C4C" w:rsidRDefault="003B1C4C" w:rsidP="00871DEC">
            <w:pPr>
              <w:pStyle w:val="BodyText"/>
              <w:jc w:val="both"/>
            </w:pPr>
            <w:r>
              <w:t>International Electrotechnical Vocabulary (IEV) – Part 113: Physics for electrotechnology</w:t>
            </w:r>
          </w:p>
        </w:tc>
      </w:tr>
      <w:tr w:rsidR="003B1C4C" w:rsidRPr="009433F3" w:rsidTr="00EB07FB">
        <w:trPr>
          <w:trHeight w:val="323"/>
        </w:trPr>
        <w:tc>
          <w:tcPr>
            <w:tcW w:w="2610" w:type="dxa"/>
          </w:tcPr>
          <w:p w:rsidR="003B1C4C" w:rsidRDefault="003B1C4C" w:rsidP="00871DEC">
            <w:pPr>
              <w:pStyle w:val="BodyText"/>
            </w:pPr>
            <w:r>
              <w:t>IEC 60050-114,</w:t>
            </w:r>
          </w:p>
        </w:tc>
        <w:tc>
          <w:tcPr>
            <w:tcW w:w="6390" w:type="dxa"/>
          </w:tcPr>
          <w:p w:rsidR="003B1C4C" w:rsidRDefault="003B1C4C" w:rsidP="00871DEC">
            <w:pPr>
              <w:pStyle w:val="BodyText"/>
              <w:jc w:val="both"/>
            </w:pPr>
            <w:r>
              <w:t xml:space="preserve">International Electrotechnical Vocabulary (IEV) – Part 114: </w:t>
            </w:r>
            <w:r>
              <w:lastRenderedPageBreak/>
              <w:t>Electrochemistry</w:t>
            </w:r>
          </w:p>
        </w:tc>
      </w:tr>
      <w:tr w:rsidR="003B1C4C" w:rsidRPr="009433F3" w:rsidTr="00EB07FB">
        <w:trPr>
          <w:trHeight w:val="323"/>
        </w:trPr>
        <w:tc>
          <w:tcPr>
            <w:tcW w:w="2610" w:type="dxa"/>
          </w:tcPr>
          <w:p w:rsidR="003B1C4C" w:rsidRDefault="003B1C4C" w:rsidP="00871DEC">
            <w:pPr>
              <w:pStyle w:val="BodyText"/>
            </w:pPr>
            <w:r>
              <w:lastRenderedPageBreak/>
              <w:t>IEC 60050-442</w:t>
            </w:r>
          </w:p>
        </w:tc>
        <w:tc>
          <w:tcPr>
            <w:tcW w:w="6390" w:type="dxa"/>
          </w:tcPr>
          <w:p w:rsidR="003B1C4C" w:rsidRDefault="003B1C4C" w:rsidP="00871DEC">
            <w:pPr>
              <w:pStyle w:val="BodyText"/>
              <w:jc w:val="both"/>
            </w:pPr>
            <w:r>
              <w:t>International Electrotechnical Vocabulary (IEV) – Part 442: Electrical accessories</w:t>
            </w:r>
          </w:p>
        </w:tc>
      </w:tr>
      <w:tr w:rsidR="003B1C4C" w:rsidRPr="009433F3" w:rsidTr="00EB07FB">
        <w:trPr>
          <w:trHeight w:val="323"/>
        </w:trPr>
        <w:tc>
          <w:tcPr>
            <w:tcW w:w="2610" w:type="dxa"/>
          </w:tcPr>
          <w:p w:rsidR="003B1C4C" w:rsidRDefault="003B1C4C" w:rsidP="00871DEC">
            <w:pPr>
              <w:pStyle w:val="BodyText"/>
            </w:pPr>
            <w:r>
              <w:t>IEC TR 60146-1-2</w:t>
            </w:r>
          </w:p>
        </w:tc>
        <w:tc>
          <w:tcPr>
            <w:tcW w:w="6390" w:type="dxa"/>
          </w:tcPr>
          <w:p w:rsidR="003B1C4C" w:rsidRDefault="003B1C4C" w:rsidP="00871DEC">
            <w:pPr>
              <w:pStyle w:val="BodyText"/>
              <w:jc w:val="both"/>
            </w:pPr>
            <w:r>
              <w:t>Semiconductor convertors – General requirement and line commutated convertors – Part 1-2: Application guidelines</w:t>
            </w:r>
          </w:p>
        </w:tc>
      </w:tr>
      <w:tr w:rsidR="003B1C4C" w:rsidRPr="009433F3" w:rsidTr="00EB07FB">
        <w:trPr>
          <w:trHeight w:val="323"/>
        </w:trPr>
        <w:tc>
          <w:tcPr>
            <w:tcW w:w="2610" w:type="dxa"/>
          </w:tcPr>
          <w:p w:rsidR="003B1C4C" w:rsidRDefault="003B1C4C" w:rsidP="00871DEC">
            <w:pPr>
              <w:pStyle w:val="BodyText"/>
            </w:pPr>
            <w:r>
              <w:t>IEC 61800-7 (all parts)</w:t>
            </w:r>
          </w:p>
        </w:tc>
        <w:tc>
          <w:tcPr>
            <w:tcW w:w="6390" w:type="dxa"/>
          </w:tcPr>
          <w:p w:rsidR="003B1C4C" w:rsidRDefault="003B1C4C" w:rsidP="00871DEC">
            <w:pPr>
              <w:pStyle w:val="BodyText"/>
              <w:jc w:val="both"/>
            </w:pPr>
            <w:r>
              <w:t>Adjustable speed electrical power drive systems – Part 7: Generic interface and use of profiles for power drive systems</w:t>
            </w:r>
          </w:p>
        </w:tc>
      </w:tr>
      <w:tr w:rsidR="003B1C4C" w:rsidRPr="009433F3" w:rsidTr="00EB07FB">
        <w:trPr>
          <w:trHeight w:val="632"/>
        </w:trPr>
        <w:tc>
          <w:tcPr>
            <w:tcW w:w="2610" w:type="dxa"/>
          </w:tcPr>
          <w:p w:rsidR="003B1C4C" w:rsidRDefault="003B1C4C" w:rsidP="00871DEC">
            <w:pPr>
              <w:pStyle w:val="BodyText"/>
            </w:pPr>
            <w:r>
              <w:t>IEC TS 61800-8</w:t>
            </w:r>
          </w:p>
        </w:tc>
        <w:tc>
          <w:tcPr>
            <w:tcW w:w="6390" w:type="dxa"/>
          </w:tcPr>
          <w:p w:rsidR="003B1C4C" w:rsidRDefault="003B1C4C" w:rsidP="00871DEC">
            <w:pPr>
              <w:pStyle w:val="BodyText"/>
              <w:jc w:val="both"/>
            </w:pPr>
            <w:r>
              <w:t>Adjustable speed electrical power drive systems – Part 8: Specification of voltage on the power interface</w:t>
            </w:r>
          </w:p>
        </w:tc>
      </w:tr>
      <w:tr w:rsidR="003B1C4C" w:rsidRPr="009433F3" w:rsidTr="00EB07FB">
        <w:trPr>
          <w:trHeight w:val="323"/>
        </w:trPr>
        <w:tc>
          <w:tcPr>
            <w:tcW w:w="2610" w:type="dxa"/>
          </w:tcPr>
          <w:p w:rsidR="003B1C4C" w:rsidRDefault="003B1C4C" w:rsidP="00871DEC">
            <w:pPr>
              <w:pStyle w:val="BodyText"/>
            </w:pPr>
            <w:r>
              <w:t>IEC 61800-9-1</w:t>
            </w:r>
          </w:p>
        </w:tc>
        <w:tc>
          <w:tcPr>
            <w:tcW w:w="6390" w:type="dxa"/>
          </w:tcPr>
          <w:p w:rsidR="003B1C4C" w:rsidRDefault="003B1C4C" w:rsidP="00871DEC">
            <w:pPr>
              <w:pStyle w:val="BodyText"/>
              <w:jc w:val="both"/>
            </w:pPr>
            <w:r>
              <w:t>Adjustable speed electrical power drive systems – Part 9-1: Ecodesign for power drive systems, motor starters, power electronics and their driven applications – General requirements for setting energy efficiency standards for power driven equipment using the extended product approach (EPA) and semi analytic model (SAM)</w:t>
            </w:r>
          </w:p>
        </w:tc>
      </w:tr>
      <w:tr w:rsidR="003B1C4C" w:rsidRPr="009433F3" w:rsidTr="00EB07FB">
        <w:trPr>
          <w:trHeight w:val="323"/>
        </w:trPr>
        <w:tc>
          <w:tcPr>
            <w:tcW w:w="2610" w:type="dxa"/>
          </w:tcPr>
          <w:p w:rsidR="003B1C4C" w:rsidRDefault="003B1C4C" w:rsidP="00871DEC">
            <w:pPr>
              <w:pStyle w:val="BodyText"/>
            </w:pPr>
            <w:r>
              <w:t>IEC 61800-9-2</w:t>
            </w:r>
          </w:p>
        </w:tc>
        <w:tc>
          <w:tcPr>
            <w:tcW w:w="6390" w:type="dxa"/>
          </w:tcPr>
          <w:p w:rsidR="003B1C4C" w:rsidRDefault="003B1C4C" w:rsidP="00871DEC">
            <w:pPr>
              <w:pStyle w:val="BodyText"/>
              <w:jc w:val="both"/>
            </w:pPr>
            <w:r>
              <w:t>Adjustable speed electrical power drive systems – Part 9-2: Ecodesign for power drive systems, motor starters, power electronics and their driven applications – Energy efficiency indicators for power drive systems and motor starters</w:t>
            </w:r>
          </w:p>
        </w:tc>
      </w:tr>
      <w:tr w:rsidR="003B1C4C" w:rsidRPr="009433F3" w:rsidTr="00EB07FB">
        <w:trPr>
          <w:trHeight w:val="323"/>
        </w:trPr>
        <w:tc>
          <w:tcPr>
            <w:tcW w:w="2610" w:type="dxa"/>
          </w:tcPr>
          <w:p w:rsidR="003B1C4C" w:rsidRDefault="003B1C4C" w:rsidP="00871DEC">
            <w:pPr>
              <w:pStyle w:val="BodyText"/>
            </w:pPr>
            <w:r>
              <w:t>IEC TS 62578</w:t>
            </w:r>
          </w:p>
        </w:tc>
        <w:tc>
          <w:tcPr>
            <w:tcW w:w="6390" w:type="dxa"/>
          </w:tcPr>
          <w:p w:rsidR="003B1C4C" w:rsidRDefault="003B1C4C" w:rsidP="00871DEC">
            <w:pPr>
              <w:pStyle w:val="BodyText"/>
              <w:jc w:val="both"/>
            </w:pPr>
            <w:r>
              <w:t>Power electronics systems and equipment – Operation conditions and characteristics of active infeed converter (AIC) applications including design recommendations for their emission values below 150 kHz</w:t>
            </w:r>
          </w:p>
        </w:tc>
      </w:tr>
    </w:tbl>
    <w:p w:rsidR="003B1C4C" w:rsidRDefault="003B1C4C" w:rsidP="003B1C4C">
      <w:pPr>
        <w:pStyle w:val="BodyText"/>
        <w:spacing w:line="244" w:lineRule="auto"/>
        <w:ind w:right="20"/>
        <w:jc w:val="both"/>
      </w:pPr>
    </w:p>
    <w:p w:rsidR="003B1C4C" w:rsidRDefault="003B1C4C" w:rsidP="003B1C4C">
      <w:pPr>
        <w:pStyle w:val="BodyText"/>
        <w:spacing w:line="244" w:lineRule="auto"/>
        <w:ind w:right="20"/>
        <w:jc w:val="both"/>
      </w:pPr>
      <w:r>
        <w:t>Only English language text has been retained while adopting it in this Indian Standard, and as such</w:t>
      </w:r>
      <w:r>
        <w:rPr>
          <w:spacing w:val="1"/>
        </w:rPr>
        <w:t xml:space="preserve"> </w:t>
      </w:r>
      <w:r>
        <w:t>the</w:t>
      </w:r>
      <w:r>
        <w:rPr>
          <w:spacing w:val="-3"/>
        </w:rPr>
        <w:t xml:space="preserve"> </w:t>
      </w:r>
      <w:r>
        <w:t>page</w:t>
      </w:r>
      <w:r>
        <w:rPr>
          <w:spacing w:val="-2"/>
        </w:rPr>
        <w:t xml:space="preserve"> </w:t>
      </w:r>
      <w:r>
        <w:t>numbers</w:t>
      </w:r>
      <w:r>
        <w:rPr>
          <w:spacing w:val="3"/>
        </w:rPr>
        <w:t xml:space="preserve"> </w:t>
      </w:r>
      <w:r>
        <w:t>given here</w:t>
      </w:r>
      <w:r>
        <w:rPr>
          <w:spacing w:val="-3"/>
        </w:rPr>
        <w:t xml:space="preserve"> </w:t>
      </w:r>
      <w:r>
        <w:t>are</w:t>
      </w:r>
      <w:r>
        <w:rPr>
          <w:spacing w:val="-2"/>
        </w:rPr>
        <w:t xml:space="preserve"> </w:t>
      </w:r>
      <w:r>
        <w:t>not</w:t>
      </w:r>
      <w:r>
        <w:rPr>
          <w:spacing w:val="-2"/>
        </w:rPr>
        <w:t xml:space="preserve"> </w:t>
      </w:r>
      <w:r>
        <w:t>the</w:t>
      </w:r>
      <w:r>
        <w:rPr>
          <w:spacing w:val="-2"/>
        </w:rPr>
        <w:t xml:space="preserve"> </w:t>
      </w:r>
      <w:r>
        <w:t>same</w:t>
      </w:r>
      <w:r>
        <w:rPr>
          <w:spacing w:val="-3"/>
        </w:rPr>
        <w:t xml:space="preserve"> </w:t>
      </w:r>
      <w:r>
        <w:t>as</w:t>
      </w:r>
      <w:r>
        <w:rPr>
          <w:spacing w:val="1"/>
        </w:rPr>
        <w:t xml:space="preserve"> </w:t>
      </w:r>
      <w:r>
        <w:t>in</w:t>
      </w:r>
      <w:r>
        <w:rPr>
          <w:spacing w:val="4"/>
        </w:rPr>
        <w:t xml:space="preserve"> </w:t>
      </w:r>
      <w:r>
        <w:t>the</w:t>
      </w:r>
      <w:r>
        <w:rPr>
          <w:spacing w:val="-2"/>
        </w:rPr>
        <w:t xml:space="preserve"> </w:t>
      </w:r>
      <w:r>
        <w:t>International</w:t>
      </w:r>
      <w:r>
        <w:rPr>
          <w:spacing w:val="-3"/>
        </w:rPr>
        <w:t xml:space="preserve"> </w:t>
      </w:r>
      <w:r>
        <w:t>Standard.</w:t>
      </w:r>
    </w:p>
    <w:p w:rsidR="003B1C4C" w:rsidRDefault="003B1C4C" w:rsidP="003B1C4C">
      <w:pPr>
        <w:pStyle w:val="BodyText"/>
        <w:spacing w:line="244" w:lineRule="auto"/>
        <w:ind w:right="20"/>
        <w:jc w:val="both"/>
      </w:pPr>
    </w:p>
    <w:p w:rsidR="003B1C4C" w:rsidRDefault="003B1C4C" w:rsidP="003B1C4C">
      <w:pPr>
        <w:pStyle w:val="BodyText"/>
        <w:spacing w:line="244" w:lineRule="auto"/>
        <w:ind w:right="20"/>
        <w:jc w:val="both"/>
      </w:pPr>
      <w:r>
        <w:t>For the purpose of deciding whether a particular requirement of this standard is complied with, the final value, observed or calculated expressing the result of a test, shall be rounded off in accordance with IS 2: 2022 ‘Rules for rounding off numerical values (</w:t>
      </w:r>
      <w:r w:rsidRPr="00AC0112">
        <w:rPr>
          <w:i/>
          <w:iCs/>
        </w:rPr>
        <w:t>second revision</w:t>
      </w:r>
      <w:r>
        <w:t>)’. The number of significant places retained in the rounded off value should be the same as that of the specified value in this standard.</w:t>
      </w:r>
    </w:p>
    <w:p w:rsidR="00F574DE" w:rsidRDefault="00F574DE" w:rsidP="00A27F6F">
      <w:pPr>
        <w:pStyle w:val="BodyText"/>
        <w:jc w:val="both"/>
      </w:pPr>
    </w:p>
    <w:sectPr w:rsidR="00F574DE" w:rsidSect="00A07A29">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272" w:rsidRDefault="00237272" w:rsidP="00A07A29">
      <w:pPr>
        <w:spacing w:after="0" w:line="240" w:lineRule="auto"/>
      </w:pPr>
      <w:r>
        <w:separator/>
      </w:r>
    </w:p>
  </w:endnote>
  <w:endnote w:type="continuationSeparator" w:id="0">
    <w:p w:rsidR="00237272" w:rsidRDefault="00237272" w:rsidP="00A07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272" w:rsidRDefault="00237272" w:rsidP="00A07A29">
      <w:pPr>
        <w:spacing w:after="0" w:line="240" w:lineRule="auto"/>
      </w:pPr>
      <w:r>
        <w:separator/>
      </w:r>
    </w:p>
  </w:footnote>
  <w:footnote w:type="continuationSeparator" w:id="0">
    <w:p w:rsidR="00237272" w:rsidRDefault="00237272" w:rsidP="00A07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0C4A"/>
    <w:rsid w:val="0000651C"/>
    <w:rsid w:val="00054908"/>
    <w:rsid w:val="0009328A"/>
    <w:rsid w:val="000A2404"/>
    <w:rsid w:val="000A7F25"/>
    <w:rsid w:val="000A7FE7"/>
    <w:rsid w:val="000D37ED"/>
    <w:rsid w:val="00123C2E"/>
    <w:rsid w:val="00162BC8"/>
    <w:rsid w:val="001821C8"/>
    <w:rsid w:val="001A74EA"/>
    <w:rsid w:val="001D2A3B"/>
    <w:rsid w:val="001D741D"/>
    <w:rsid w:val="001E27E2"/>
    <w:rsid w:val="001F5FE7"/>
    <w:rsid w:val="00207464"/>
    <w:rsid w:val="0021341A"/>
    <w:rsid w:val="00236A76"/>
    <w:rsid w:val="00237272"/>
    <w:rsid w:val="0026163C"/>
    <w:rsid w:val="00270C4A"/>
    <w:rsid w:val="0029562E"/>
    <w:rsid w:val="002D432F"/>
    <w:rsid w:val="002F66FE"/>
    <w:rsid w:val="003171D6"/>
    <w:rsid w:val="00340C1C"/>
    <w:rsid w:val="003749B8"/>
    <w:rsid w:val="003B1C4C"/>
    <w:rsid w:val="00422D24"/>
    <w:rsid w:val="004306D1"/>
    <w:rsid w:val="004452DC"/>
    <w:rsid w:val="00453407"/>
    <w:rsid w:val="004661AD"/>
    <w:rsid w:val="00475B0A"/>
    <w:rsid w:val="004949CD"/>
    <w:rsid w:val="004A32DD"/>
    <w:rsid w:val="004A6042"/>
    <w:rsid w:val="004A6F9F"/>
    <w:rsid w:val="004B1677"/>
    <w:rsid w:val="004C36B9"/>
    <w:rsid w:val="004D0486"/>
    <w:rsid w:val="004D4A4B"/>
    <w:rsid w:val="004D7235"/>
    <w:rsid w:val="004F3A8C"/>
    <w:rsid w:val="004F4881"/>
    <w:rsid w:val="005019BD"/>
    <w:rsid w:val="00504F9B"/>
    <w:rsid w:val="00517B0B"/>
    <w:rsid w:val="0054035B"/>
    <w:rsid w:val="0055312F"/>
    <w:rsid w:val="005C13F0"/>
    <w:rsid w:val="005C46C5"/>
    <w:rsid w:val="006145B1"/>
    <w:rsid w:val="0062736F"/>
    <w:rsid w:val="00664BAA"/>
    <w:rsid w:val="00671C2B"/>
    <w:rsid w:val="00686F9E"/>
    <w:rsid w:val="00696258"/>
    <w:rsid w:val="006B2797"/>
    <w:rsid w:val="006E6B10"/>
    <w:rsid w:val="006F3D29"/>
    <w:rsid w:val="00760A21"/>
    <w:rsid w:val="007615D2"/>
    <w:rsid w:val="00844370"/>
    <w:rsid w:val="00845FD2"/>
    <w:rsid w:val="00856ECC"/>
    <w:rsid w:val="008B6642"/>
    <w:rsid w:val="008E6E9E"/>
    <w:rsid w:val="008F3CD9"/>
    <w:rsid w:val="0090481C"/>
    <w:rsid w:val="009371E0"/>
    <w:rsid w:val="0097024E"/>
    <w:rsid w:val="0099485C"/>
    <w:rsid w:val="009C0D57"/>
    <w:rsid w:val="009C794B"/>
    <w:rsid w:val="009E1F20"/>
    <w:rsid w:val="00A07A29"/>
    <w:rsid w:val="00A15353"/>
    <w:rsid w:val="00A16896"/>
    <w:rsid w:val="00A27F6F"/>
    <w:rsid w:val="00A34E38"/>
    <w:rsid w:val="00A66C0C"/>
    <w:rsid w:val="00A731B1"/>
    <w:rsid w:val="00AC710C"/>
    <w:rsid w:val="00B131A8"/>
    <w:rsid w:val="00B24B6E"/>
    <w:rsid w:val="00B52B6C"/>
    <w:rsid w:val="00B543F9"/>
    <w:rsid w:val="00B616F9"/>
    <w:rsid w:val="00B6683A"/>
    <w:rsid w:val="00B672FA"/>
    <w:rsid w:val="00BB00D2"/>
    <w:rsid w:val="00BE1350"/>
    <w:rsid w:val="00BF08E4"/>
    <w:rsid w:val="00C51300"/>
    <w:rsid w:val="00C74AB8"/>
    <w:rsid w:val="00C90322"/>
    <w:rsid w:val="00CA5CB1"/>
    <w:rsid w:val="00CA6C66"/>
    <w:rsid w:val="00CC5509"/>
    <w:rsid w:val="00CC552B"/>
    <w:rsid w:val="00CC5D7C"/>
    <w:rsid w:val="00CE3F4F"/>
    <w:rsid w:val="00CE404B"/>
    <w:rsid w:val="00CE6EAB"/>
    <w:rsid w:val="00CF6193"/>
    <w:rsid w:val="00D05AFF"/>
    <w:rsid w:val="00D110BD"/>
    <w:rsid w:val="00D322DA"/>
    <w:rsid w:val="00D87D8D"/>
    <w:rsid w:val="00D94F44"/>
    <w:rsid w:val="00DE6742"/>
    <w:rsid w:val="00DF5393"/>
    <w:rsid w:val="00E20847"/>
    <w:rsid w:val="00E2583A"/>
    <w:rsid w:val="00E33CA7"/>
    <w:rsid w:val="00E65180"/>
    <w:rsid w:val="00E97E85"/>
    <w:rsid w:val="00E97FE1"/>
    <w:rsid w:val="00EB07FB"/>
    <w:rsid w:val="00EB6EDF"/>
    <w:rsid w:val="00EF00B5"/>
    <w:rsid w:val="00F574DE"/>
    <w:rsid w:val="00F5784A"/>
    <w:rsid w:val="00F66496"/>
    <w:rsid w:val="00F77F04"/>
    <w:rsid w:val="00F8390C"/>
    <w:rsid w:val="00F9321C"/>
    <w:rsid w:val="00FB3735"/>
    <w:rsid w:val="00FD6D0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D914576"/>
  <w15:docId w15:val="{03846C09-246A-4875-B015-B196D15E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BalloonText">
    <w:name w:val="Balloon Text"/>
    <w:basedOn w:val="Normal"/>
    <w:link w:val="BalloonTextChar"/>
    <w:uiPriority w:val="99"/>
    <w:semiHidden/>
    <w:unhideWhenUsed/>
    <w:rsid w:val="00A2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F6F"/>
    <w:rPr>
      <w:rFonts w:ascii="Tahoma" w:eastAsiaTheme="minorEastAsia" w:hAnsi="Tahoma" w:cs="Tahoma"/>
      <w:sz w:val="16"/>
      <w:szCs w:val="16"/>
      <w:lang w:bidi="ar-SA"/>
    </w:rPr>
  </w:style>
  <w:style w:type="paragraph" w:styleId="BodyText">
    <w:name w:val="Body Text"/>
    <w:basedOn w:val="Normal"/>
    <w:link w:val="BodyTextChar"/>
    <w:uiPriority w:val="1"/>
    <w:qFormat/>
    <w:rsid w:val="00A27F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27F6F"/>
    <w:rPr>
      <w:rFonts w:ascii="Times New Roman" w:eastAsia="Times New Roman" w:hAnsi="Times New Roman" w:cs="Times New Roman"/>
      <w:sz w:val="24"/>
      <w:szCs w:val="24"/>
      <w:lang w:bidi="ar-SA"/>
    </w:rPr>
  </w:style>
  <w:style w:type="table" w:styleId="TableGrid">
    <w:name w:val="Table Grid"/>
    <w:basedOn w:val="TableNormal"/>
    <w:uiPriority w:val="39"/>
    <w:rsid w:val="00A27F6F"/>
    <w:pPr>
      <w:widowControl w:val="0"/>
      <w:autoSpaceDE w:val="0"/>
      <w:autoSpaceDN w:val="0"/>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07A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7A29"/>
    <w:rPr>
      <w:rFonts w:eastAsiaTheme="minorEastAsia"/>
      <w:szCs w:val="22"/>
      <w:lang w:bidi="ar-SA"/>
    </w:rPr>
  </w:style>
  <w:style w:type="paragraph" w:styleId="Footer">
    <w:name w:val="footer"/>
    <w:basedOn w:val="Normal"/>
    <w:link w:val="FooterChar"/>
    <w:uiPriority w:val="99"/>
    <w:semiHidden/>
    <w:unhideWhenUsed/>
    <w:rsid w:val="00A07A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7A29"/>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0" Type="http://schemas.openxmlformats.org/officeDocument/2006/relationships/hyperlink" Target="http://www.bis.org.in"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israfil</cp:lastModifiedBy>
  <cp:revision>31</cp:revision>
  <dcterms:created xsi:type="dcterms:W3CDTF">2024-11-07T05:58:00Z</dcterms:created>
  <dcterms:modified xsi:type="dcterms:W3CDTF">2024-11-25T08:54:00Z</dcterms:modified>
</cp:coreProperties>
</file>