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6BB32" w14:textId="77777777" w:rsidR="004856CB" w:rsidRDefault="00F704B4" w:rsidP="004856CB">
      <w:pPr>
        <w:ind w:left="5760"/>
      </w:pPr>
      <w:r w:rsidRPr="000D13C4">
        <w:rPr>
          <w:noProof/>
          <w:lang w:bidi="hi-IN"/>
        </w:rPr>
        <mc:AlternateContent>
          <mc:Choice Requires="wps">
            <w:drawing>
              <wp:anchor distT="0" distB="0" distL="114300" distR="114300" simplePos="0" relativeHeight="251660288" behindDoc="0" locked="0" layoutInCell="1" allowOverlap="1" wp14:anchorId="313FE83A" wp14:editId="7BBCD5AE">
                <wp:simplePos x="0" y="0"/>
                <wp:positionH relativeFrom="page">
                  <wp:align>center</wp:align>
                </wp:positionH>
                <wp:positionV relativeFrom="paragraph">
                  <wp:posOffset>-36195</wp:posOffset>
                </wp:positionV>
                <wp:extent cx="1562100" cy="64135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41350"/>
                        </a:xfrm>
                        <a:prstGeom prst="rect">
                          <a:avLst/>
                        </a:prstGeom>
                        <a:solidFill>
                          <a:srgbClr val="FFFFFF"/>
                        </a:solidFill>
                        <a:ln w="9525">
                          <a:solidFill>
                            <a:schemeClr val="bg1">
                              <a:lumMod val="100000"/>
                              <a:lumOff val="0"/>
                            </a:schemeClr>
                          </a:solidFill>
                          <a:miter lim="800000"/>
                          <a:headEnd/>
                          <a:tailEnd/>
                        </a:ln>
                      </wps:spPr>
                      <wps:txbx>
                        <w:txbxContent>
                          <w:p w14:paraId="277ED9AF" w14:textId="77777777" w:rsidR="004856CB" w:rsidRPr="00540AA4" w:rsidRDefault="004856CB" w:rsidP="004856CB">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4871C486" w14:textId="77777777" w:rsidR="004856CB" w:rsidRDefault="004856CB" w:rsidP="004856CB">
                            <w:pPr>
                              <w:rPr>
                                <w:rFonts w:ascii="Arial" w:hAnsi="Arial" w:cs="Arial"/>
                                <w:b/>
                                <w:i/>
                                <w:sz w:val="28"/>
                                <w:szCs w:val="32"/>
                              </w:rPr>
                            </w:pPr>
                            <w:r w:rsidRPr="00F20963">
                              <w:rPr>
                                <w:rFonts w:ascii="Arial" w:hAnsi="Arial" w:cs="Arial"/>
                                <w:b/>
                                <w:i/>
                                <w:sz w:val="28"/>
                                <w:szCs w:val="32"/>
                              </w:rPr>
                              <w:t>Indian Standard</w:t>
                            </w:r>
                          </w:p>
                          <w:p w14:paraId="4F8D1A20" w14:textId="77777777" w:rsidR="004856CB" w:rsidRDefault="004856CB" w:rsidP="004856CB">
                            <w:pPr>
                              <w:rPr>
                                <w:rFonts w:ascii="Arial" w:hAnsi="Arial" w:cs="Arial"/>
                                <w:b/>
                                <w:i/>
                                <w:sz w:val="28"/>
                                <w:szCs w:val="32"/>
                              </w:rPr>
                            </w:pPr>
                          </w:p>
                          <w:p w14:paraId="73302878" w14:textId="77777777" w:rsidR="004856CB" w:rsidRPr="00F20963" w:rsidRDefault="004856CB" w:rsidP="004856CB">
                            <w:pPr>
                              <w:rPr>
                                <w:rFonts w:ascii="Arial" w:hAnsi="Arial" w:cs="Arial"/>
                                <w:b/>
                                <w:i/>
                                <w:sz w:val="28"/>
                                <w:szCs w:val="32"/>
                              </w:rPr>
                            </w:pPr>
                          </w:p>
                          <w:p w14:paraId="198D848C" w14:textId="77777777" w:rsidR="004856CB" w:rsidRPr="00C536D7" w:rsidRDefault="004856CB" w:rsidP="004856C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13FE83A" id="_x0000_t202" coordsize="21600,21600" o:spt="202" path="m,l,21600r21600,l21600,xe">
                <v:stroke joinstyle="miter"/>
                <v:path gradientshapeok="t" o:connecttype="rect"/>
              </v:shapetype>
              <v:shape id="Text Box 9" o:spid="_x0000_s1026" type="#_x0000_t202" style="position:absolute;left:0;text-align:left;margin-left:0;margin-top:-2.85pt;width:123pt;height:5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" strokecolor="white [3212]">
                <v:textbox>
                  <w:txbxContent>
                    <w:p w14:paraId="277ED9AF" w14:textId="77777777" w:rsidR="004856CB" w:rsidRPr="00540AA4" w:rsidRDefault="004856CB" w:rsidP="004856CB">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4871C486" w14:textId="77777777" w:rsidR="004856CB" w:rsidRDefault="004856CB" w:rsidP="004856CB">
                      <w:pPr>
                        <w:rPr>
                          <w:rFonts w:ascii="Arial" w:hAnsi="Arial" w:cs="Arial"/>
                          <w:b/>
                          <w:i/>
                          <w:sz w:val="28"/>
                          <w:szCs w:val="32"/>
                        </w:rPr>
                      </w:pPr>
                      <w:r w:rsidRPr="00F20963">
                        <w:rPr>
                          <w:rFonts w:ascii="Arial" w:hAnsi="Arial" w:cs="Arial"/>
                          <w:b/>
                          <w:i/>
                          <w:sz w:val="28"/>
                          <w:szCs w:val="32"/>
                        </w:rPr>
                        <w:t>Indian Standard</w:t>
                      </w:r>
                    </w:p>
                    <w:p w14:paraId="4F8D1A20" w14:textId="77777777" w:rsidR="004856CB" w:rsidRDefault="004856CB" w:rsidP="004856CB">
                      <w:pPr>
                        <w:rPr>
                          <w:rFonts w:ascii="Arial" w:hAnsi="Arial" w:cs="Arial"/>
                          <w:b/>
                          <w:i/>
                          <w:sz w:val="28"/>
                          <w:szCs w:val="32"/>
                        </w:rPr>
                      </w:pPr>
                    </w:p>
                    <w:p w14:paraId="73302878" w14:textId="77777777" w:rsidR="004856CB" w:rsidRPr="00F20963" w:rsidRDefault="004856CB" w:rsidP="004856CB">
                      <w:pPr>
                        <w:rPr>
                          <w:rFonts w:ascii="Arial" w:hAnsi="Arial" w:cs="Arial"/>
                          <w:b/>
                          <w:i/>
                          <w:sz w:val="28"/>
                          <w:szCs w:val="32"/>
                        </w:rPr>
                      </w:pPr>
                    </w:p>
                    <w:p w14:paraId="198D848C" w14:textId="77777777" w:rsidR="004856CB" w:rsidRPr="00C536D7" w:rsidRDefault="004856CB" w:rsidP="004856CB">
                      <w:pPr>
                        <w:rPr>
                          <w:b/>
                          <w:i/>
                        </w:rPr>
                      </w:pPr>
                    </w:p>
                  </w:txbxContent>
                </v:textbox>
                <w10:wrap anchorx="page"/>
              </v:shape>
            </w:pict>
          </mc:Fallback>
        </mc:AlternateContent>
      </w:r>
    </w:p>
    <w:p w14:paraId="08B81328" w14:textId="77777777" w:rsidR="004856CB" w:rsidRDefault="004856CB" w:rsidP="004856CB">
      <w:pPr>
        <w:ind w:left="5760"/>
        <w:rPr>
          <w:rFonts w:ascii="Arial" w:hAnsi="Arial" w:cs="Arial"/>
          <w:b/>
          <w:color w:val="000000" w:themeColor="text1"/>
        </w:rPr>
      </w:pPr>
      <w:r>
        <w:rPr>
          <w:rFonts w:ascii="Arial" w:hAnsi="Arial" w:cs="Arial"/>
          <w:b/>
          <w:color w:val="000000"/>
          <w:lang w:val="fr-FR"/>
        </w:rPr>
        <w:tab/>
      </w:r>
      <w:r w:rsidRPr="00FC79DA">
        <w:rPr>
          <w:rFonts w:ascii="Arial" w:hAnsi="Arial" w:cs="Arial"/>
          <w:b/>
          <w:color w:val="000000"/>
          <w:lang w:val="fr-FR"/>
        </w:rPr>
        <w:t xml:space="preserve">  </w:t>
      </w:r>
      <w:r>
        <w:rPr>
          <w:rFonts w:ascii="Arial" w:hAnsi="Arial" w:cs="Arial"/>
          <w:b/>
          <w:color w:val="000000"/>
          <w:lang w:val="fr-FR"/>
        </w:rPr>
        <w:t xml:space="preserve">        </w:t>
      </w:r>
    </w:p>
    <w:p w14:paraId="2FB5158E" w14:textId="77777777" w:rsidR="004C2F6B" w:rsidRDefault="004856CB" w:rsidP="004856CB">
      <w:pPr>
        <w:ind w:left="5760"/>
        <w:rPr>
          <w:rFonts w:ascii="Arial" w:hAnsi="Arial" w:cs="Arial"/>
          <w:b/>
          <w:color w:val="000000" w:themeColor="text1"/>
        </w:rPr>
      </w:pPr>
      <w:r>
        <w:rPr>
          <w:rFonts w:ascii="Arial" w:hAnsi="Arial" w:cs="Arial"/>
          <w:b/>
          <w:color w:val="000000" w:themeColor="text1"/>
        </w:rPr>
        <w:t xml:space="preserve">                           </w:t>
      </w:r>
      <w:r w:rsidR="004C2F6B">
        <w:rPr>
          <w:rFonts w:ascii="Arial" w:hAnsi="Arial" w:cs="Arial"/>
          <w:b/>
          <w:color w:val="000000" w:themeColor="text1"/>
        </w:rPr>
        <w:t>IS………..:2024</w:t>
      </w:r>
    </w:p>
    <w:p w14:paraId="18C39C89" w14:textId="2E3725A1" w:rsidR="004856CB" w:rsidRPr="00FC79DA" w:rsidRDefault="004C2F6B" w:rsidP="004856CB">
      <w:pPr>
        <w:ind w:left="5760"/>
        <w:rPr>
          <w:rFonts w:ascii="Arial" w:hAnsi="Arial" w:cs="Arial"/>
          <w:b/>
          <w:color w:val="000000" w:themeColor="text1"/>
        </w:rPr>
      </w:pPr>
      <w:r>
        <w:rPr>
          <w:rFonts w:ascii="Arial" w:hAnsi="Arial" w:cs="Arial"/>
          <w:b/>
          <w:color w:val="000000" w:themeColor="text1"/>
        </w:rPr>
        <w:t xml:space="preserve">                      </w:t>
      </w:r>
      <w:r w:rsidR="004856CB">
        <w:rPr>
          <w:rFonts w:ascii="Arial" w:hAnsi="Arial" w:cs="Arial"/>
          <w:b/>
          <w:color w:val="000000" w:themeColor="text1"/>
        </w:rPr>
        <w:t xml:space="preserve"> </w:t>
      </w:r>
      <w:r w:rsidR="004856CB" w:rsidRPr="00FC79DA">
        <w:rPr>
          <w:rFonts w:ascii="Arial" w:hAnsi="Arial" w:cs="Arial"/>
          <w:b/>
          <w:color w:val="000000" w:themeColor="text1"/>
        </w:rPr>
        <w:t>IEC 6</w:t>
      </w:r>
      <w:r w:rsidR="004856CB">
        <w:rPr>
          <w:rFonts w:ascii="Arial" w:hAnsi="Arial" w:cs="Arial"/>
          <w:b/>
          <w:color w:val="000000" w:themeColor="text1"/>
        </w:rPr>
        <w:t>2561</w:t>
      </w:r>
      <w:r w:rsidR="004856CB" w:rsidRPr="00FC79DA">
        <w:rPr>
          <w:rFonts w:ascii="Arial" w:hAnsi="Arial" w:cs="Arial"/>
          <w:b/>
          <w:color w:val="000000" w:themeColor="text1"/>
        </w:rPr>
        <w:t>-</w:t>
      </w:r>
      <w:r w:rsidR="00E8417F">
        <w:rPr>
          <w:rFonts w:ascii="Arial" w:hAnsi="Arial" w:cs="Arial"/>
          <w:b/>
          <w:color w:val="000000" w:themeColor="text1"/>
        </w:rPr>
        <w:t>3</w:t>
      </w:r>
      <w:r w:rsidR="004856CB" w:rsidRPr="00FC79DA">
        <w:rPr>
          <w:rFonts w:ascii="Arial" w:hAnsi="Arial" w:cs="Arial"/>
          <w:b/>
          <w:color w:val="000000" w:themeColor="text1"/>
        </w:rPr>
        <w:t>: 20</w:t>
      </w:r>
      <w:r w:rsidR="00E8417F">
        <w:rPr>
          <w:rFonts w:ascii="Arial" w:hAnsi="Arial" w:cs="Arial"/>
          <w:b/>
          <w:color w:val="000000" w:themeColor="text1"/>
        </w:rPr>
        <w:t>23</w:t>
      </w:r>
    </w:p>
    <w:p w14:paraId="2358E451" w14:textId="77777777" w:rsidR="004856CB" w:rsidRPr="000D13C4" w:rsidRDefault="004856CB" w:rsidP="004856CB">
      <w:pPr>
        <w:suppressAutoHyphens/>
        <w:ind w:left="3402"/>
        <w:jc w:val="right"/>
        <w:rPr>
          <w:rFonts w:ascii="Arial" w:hAnsi="Arial" w:cs="Arial"/>
        </w:rPr>
      </w:pPr>
      <w:r w:rsidRPr="000D13C4">
        <w:rPr>
          <w:noProof/>
          <w:lang w:bidi="hi-IN"/>
        </w:rPr>
        <mc:AlternateContent>
          <mc:Choice Requires="wpg">
            <w:drawing>
              <wp:inline distT="0" distB="0" distL="0" distR="0" wp14:anchorId="165E6189" wp14:editId="3DD078D8">
                <wp:extent cx="4011930" cy="61595"/>
                <wp:effectExtent l="0" t="0" r="2667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1930" cy="61595"/>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91A5F4A" id="Group 5" o:spid="_x0000_s1026" style="width:315.9pt;height:4.8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243BB6A1" w14:textId="77777777" w:rsidR="004856CB" w:rsidRPr="000D13C4" w:rsidRDefault="004856CB" w:rsidP="004856CB">
      <w:pPr>
        <w:suppressAutoHyphens/>
        <w:ind w:left="3402"/>
        <w:jc w:val="center"/>
        <w:rPr>
          <w:rFonts w:ascii="Kokila" w:hAnsi="Kokila" w:cs="Kokila"/>
          <w:bCs/>
          <w:color w:val="222222"/>
          <w:sz w:val="32"/>
          <w:szCs w:val="32"/>
          <w:lang w:bidi="hi-IN"/>
        </w:rPr>
      </w:pPr>
    </w:p>
    <w:p w14:paraId="21DA0D5A" w14:textId="77777777" w:rsidR="004856CB" w:rsidRPr="00C8767C" w:rsidRDefault="004856CB" w:rsidP="004856CB">
      <w:pPr>
        <w:suppressAutoHyphens/>
        <w:ind w:left="3420" w:right="90"/>
        <w:jc w:val="center"/>
        <w:rPr>
          <w:rFonts w:ascii="Kokila" w:hAnsi="Kokila" w:cs="Kokila"/>
          <w:b/>
          <w:bCs/>
          <w:sz w:val="52"/>
          <w:szCs w:val="52"/>
          <w:lang w:bidi="hi-IN"/>
        </w:rPr>
      </w:pPr>
      <w:r w:rsidRPr="000648D2">
        <w:rPr>
          <w:rFonts w:asciiTheme="minorHAnsi" w:hAnsiTheme="minorHAnsi" w:cs="Kokila" w:hint="cs"/>
          <w:b/>
          <w:bCs/>
          <w:sz w:val="52"/>
          <w:szCs w:val="52"/>
          <w:cs/>
          <w:lang w:val="en-IN" w:bidi="hi-IN"/>
        </w:rPr>
        <w:t>विद्युत</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संरक्षण</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प्रणाली</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कम्पोनेंट्स</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एलपीएससी</w:t>
      </w:r>
      <w:r>
        <w:rPr>
          <w:rFonts w:asciiTheme="minorHAnsi" w:hAnsiTheme="minorHAnsi" w:cs="Kokila"/>
          <w:b/>
          <w:bCs/>
          <w:sz w:val="52"/>
          <w:szCs w:val="52"/>
          <w:cs/>
          <w:lang w:val="en-IN" w:bidi="hi-IN"/>
        </w:rPr>
        <w:t>)</w:t>
      </w:r>
      <w:r w:rsidRPr="00C8767C">
        <w:rPr>
          <w:rFonts w:ascii="Kokila" w:hAnsi="Kokila" w:cs="Kokila" w:hint="cs"/>
          <w:b/>
          <w:bCs/>
          <w:sz w:val="52"/>
          <w:szCs w:val="52"/>
          <w:cs/>
          <w:lang w:bidi="hi-IN"/>
        </w:rPr>
        <w:t xml:space="preserve">  </w:t>
      </w:r>
    </w:p>
    <w:p w14:paraId="453F0322" w14:textId="77777777" w:rsidR="004856CB" w:rsidRPr="00C8767C" w:rsidRDefault="004856CB" w:rsidP="004856CB">
      <w:pPr>
        <w:suppressAutoHyphens/>
        <w:ind w:left="3420"/>
        <w:jc w:val="center"/>
        <w:rPr>
          <w:rFonts w:ascii="Kokila" w:hAnsi="Kokila" w:cs="Kokila"/>
          <w:b/>
          <w:bCs/>
          <w:sz w:val="44"/>
          <w:szCs w:val="44"/>
          <w:lang w:bidi="hi-IN"/>
        </w:rPr>
      </w:pPr>
      <w:r w:rsidRPr="00C8767C">
        <w:rPr>
          <w:rFonts w:ascii="Kokila" w:hAnsi="Kokila" w:cs="Kokila"/>
          <w:b/>
          <w:bCs/>
          <w:sz w:val="44"/>
          <w:szCs w:val="44"/>
          <w:cs/>
          <w:lang w:bidi="hi-IN"/>
        </w:rPr>
        <w:t xml:space="preserve">भाग </w:t>
      </w:r>
      <w:r>
        <w:rPr>
          <w:rFonts w:ascii="Kokila" w:hAnsi="Kokila" w:cs="Kokila"/>
          <w:b/>
          <w:bCs/>
          <w:sz w:val="44"/>
        </w:rPr>
        <w:t>3</w:t>
      </w:r>
      <w:r w:rsidRPr="00C8767C">
        <w:rPr>
          <w:rFonts w:ascii="Kokila" w:hAnsi="Kokila" w:cs="Kokila"/>
          <w:b/>
          <w:bCs/>
          <w:sz w:val="44"/>
        </w:rPr>
        <w:t xml:space="preserve"> </w:t>
      </w:r>
      <w:r w:rsidRPr="004856CB">
        <w:rPr>
          <w:rFonts w:ascii="Kokila" w:hAnsi="Kokila" w:cs="Kokila" w:hint="cs"/>
          <w:b/>
          <w:bCs/>
          <w:sz w:val="44"/>
          <w:szCs w:val="44"/>
          <w:cs/>
          <w:lang w:bidi="hi-IN"/>
        </w:rPr>
        <w:t>स्पार्क</w:t>
      </w:r>
      <w:r w:rsidRPr="004856CB">
        <w:rPr>
          <w:rFonts w:ascii="Kokila" w:hAnsi="Kokila" w:cs="Kokila"/>
          <w:b/>
          <w:bCs/>
          <w:sz w:val="44"/>
          <w:szCs w:val="44"/>
          <w:cs/>
          <w:lang w:bidi="hi-IN"/>
        </w:rPr>
        <w:t xml:space="preserve"> </w:t>
      </w:r>
      <w:r w:rsidRPr="004856CB">
        <w:rPr>
          <w:rFonts w:ascii="Kokila" w:hAnsi="Kokila" w:cs="Kokila" w:hint="cs"/>
          <w:b/>
          <w:bCs/>
          <w:sz w:val="44"/>
          <w:szCs w:val="44"/>
          <w:cs/>
          <w:lang w:bidi="hi-IN"/>
        </w:rPr>
        <w:t>गैप</w:t>
      </w:r>
      <w:r w:rsidRPr="004856CB">
        <w:rPr>
          <w:rFonts w:ascii="Kokila" w:hAnsi="Kokila" w:cs="Kokila"/>
          <w:b/>
          <w:bCs/>
          <w:sz w:val="44"/>
          <w:szCs w:val="44"/>
          <w:cs/>
          <w:lang w:bidi="hi-IN"/>
        </w:rPr>
        <w:t xml:space="preserve"> </w:t>
      </w:r>
      <w:r w:rsidRPr="004856CB">
        <w:rPr>
          <w:rFonts w:ascii="Kokila" w:hAnsi="Kokila" w:cs="Kokila" w:hint="cs"/>
          <w:b/>
          <w:bCs/>
          <w:sz w:val="44"/>
          <w:szCs w:val="44"/>
          <w:cs/>
          <w:lang w:bidi="hi-IN"/>
        </w:rPr>
        <w:t>को</w:t>
      </w:r>
      <w:r w:rsidRPr="004856CB">
        <w:rPr>
          <w:rFonts w:ascii="Kokila" w:hAnsi="Kokila" w:cs="Kokila"/>
          <w:b/>
          <w:bCs/>
          <w:sz w:val="44"/>
          <w:szCs w:val="44"/>
          <w:cs/>
          <w:lang w:bidi="hi-IN"/>
        </w:rPr>
        <w:t xml:space="preserve"> </w:t>
      </w:r>
      <w:r w:rsidRPr="004856CB">
        <w:rPr>
          <w:rFonts w:ascii="Kokila" w:hAnsi="Kokila" w:cs="Kokila" w:hint="cs"/>
          <w:b/>
          <w:bCs/>
          <w:sz w:val="44"/>
          <w:szCs w:val="44"/>
          <w:cs/>
          <w:lang w:bidi="hi-IN"/>
        </w:rPr>
        <w:t>पृथक</w:t>
      </w:r>
      <w:r w:rsidRPr="004856CB">
        <w:rPr>
          <w:rFonts w:ascii="Kokila" w:hAnsi="Kokila" w:cs="Kokila"/>
          <w:b/>
          <w:bCs/>
          <w:sz w:val="44"/>
          <w:szCs w:val="44"/>
          <w:cs/>
          <w:lang w:bidi="hi-IN"/>
        </w:rPr>
        <w:t xml:space="preserve"> </w:t>
      </w:r>
      <w:r w:rsidRPr="004856CB">
        <w:rPr>
          <w:rFonts w:ascii="Kokila" w:hAnsi="Kokila" w:cs="Kokila" w:hint="cs"/>
          <w:b/>
          <w:bCs/>
          <w:sz w:val="44"/>
          <w:szCs w:val="44"/>
          <w:cs/>
          <w:lang w:bidi="hi-IN"/>
        </w:rPr>
        <w:t>करने</w:t>
      </w:r>
      <w:r w:rsidRPr="004856CB">
        <w:rPr>
          <w:rFonts w:ascii="Kokila" w:hAnsi="Kokila" w:cs="Kokila"/>
          <w:b/>
          <w:bCs/>
          <w:sz w:val="44"/>
          <w:szCs w:val="44"/>
          <w:cs/>
          <w:lang w:bidi="hi-IN"/>
        </w:rPr>
        <w:t xml:space="preserve"> </w:t>
      </w:r>
      <w:r w:rsidRPr="004856CB">
        <w:rPr>
          <w:rFonts w:ascii="Kokila" w:hAnsi="Kokila" w:cs="Kokila" w:hint="cs"/>
          <w:b/>
          <w:bCs/>
          <w:sz w:val="44"/>
          <w:szCs w:val="44"/>
          <w:cs/>
          <w:lang w:bidi="hi-IN"/>
        </w:rPr>
        <w:t>के</w:t>
      </w:r>
      <w:r w:rsidRPr="004856CB">
        <w:rPr>
          <w:rFonts w:ascii="Kokila" w:hAnsi="Kokila" w:cs="Kokila"/>
          <w:b/>
          <w:bCs/>
          <w:sz w:val="44"/>
          <w:szCs w:val="44"/>
          <w:cs/>
          <w:lang w:bidi="hi-IN"/>
        </w:rPr>
        <w:t xml:space="preserve"> </w:t>
      </w:r>
      <w:r w:rsidRPr="004856CB">
        <w:rPr>
          <w:rFonts w:ascii="Kokila" w:hAnsi="Kokila" w:cs="Kokila" w:hint="cs"/>
          <w:b/>
          <w:bCs/>
          <w:sz w:val="44"/>
          <w:szCs w:val="44"/>
          <w:cs/>
          <w:lang w:bidi="hi-IN"/>
        </w:rPr>
        <w:t>लिए</w:t>
      </w:r>
      <w:r w:rsidRPr="004856CB">
        <w:rPr>
          <w:rFonts w:ascii="Kokila" w:hAnsi="Kokila" w:cs="Kokila"/>
          <w:b/>
          <w:bCs/>
          <w:sz w:val="44"/>
          <w:szCs w:val="44"/>
          <w:cs/>
          <w:lang w:bidi="hi-IN"/>
        </w:rPr>
        <w:t xml:space="preserve"> </w:t>
      </w:r>
      <w:r w:rsidRPr="004856CB">
        <w:rPr>
          <w:rFonts w:ascii="Kokila" w:hAnsi="Kokila" w:cs="Kokila" w:hint="cs"/>
          <w:b/>
          <w:bCs/>
          <w:sz w:val="44"/>
          <w:szCs w:val="44"/>
          <w:cs/>
          <w:lang w:bidi="hi-IN"/>
        </w:rPr>
        <w:t>आवश्यकताएँ</w:t>
      </w:r>
      <w:r w:rsidRPr="004856CB">
        <w:rPr>
          <w:rFonts w:ascii="Kokila" w:hAnsi="Kokila" w:cs="Kokila"/>
          <w:b/>
          <w:bCs/>
          <w:sz w:val="44"/>
          <w:szCs w:val="44"/>
          <w:cs/>
          <w:lang w:bidi="hi-IN"/>
        </w:rPr>
        <w:t xml:space="preserve"> (</w:t>
      </w:r>
      <w:r w:rsidRPr="004856CB">
        <w:rPr>
          <w:rFonts w:ascii="Kokila" w:hAnsi="Kokila" w:cs="Kokila" w:hint="cs"/>
          <w:b/>
          <w:bCs/>
          <w:sz w:val="44"/>
          <w:szCs w:val="44"/>
          <w:cs/>
          <w:lang w:bidi="hi-IN"/>
        </w:rPr>
        <w:t>आईएसजी</w:t>
      </w:r>
      <w:r w:rsidRPr="00116696">
        <w:rPr>
          <w:rFonts w:ascii="Kokila" w:hAnsi="Kokila" w:cs="Kokila" w:hint="cs"/>
          <w:b/>
          <w:bCs/>
          <w:sz w:val="28"/>
          <w:szCs w:val="28"/>
          <w:cs/>
          <w:lang w:bidi="hi-IN"/>
        </w:rPr>
        <w:t>एस</w:t>
      </w:r>
      <w:r w:rsidRPr="004856CB">
        <w:rPr>
          <w:rFonts w:ascii="Kokila" w:hAnsi="Kokila" w:cs="Kokila"/>
          <w:b/>
          <w:bCs/>
          <w:sz w:val="44"/>
          <w:szCs w:val="44"/>
          <w:cs/>
          <w:lang w:bidi="hi-IN"/>
        </w:rPr>
        <w:t xml:space="preserve"> )</w:t>
      </w:r>
      <w:r w:rsidRPr="00C8767C">
        <w:rPr>
          <w:rFonts w:ascii="Kokila" w:hAnsi="Kokila" w:cs="Kokila" w:hint="cs"/>
          <w:b/>
          <w:bCs/>
          <w:sz w:val="44"/>
          <w:szCs w:val="44"/>
          <w:cs/>
          <w:lang w:bidi="hi-IN"/>
        </w:rPr>
        <w:t xml:space="preserve"> </w:t>
      </w:r>
    </w:p>
    <w:p w14:paraId="1D6811D9" w14:textId="77777777" w:rsidR="004856CB" w:rsidRPr="002559E2" w:rsidRDefault="004856CB" w:rsidP="004856CB">
      <w:pPr>
        <w:tabs>
          <w:tab w:val="left" w:pos="5710"/>
        </w:tabs>
        <w:suppressAutoHyphens/>
        <w:ind w:left="3420" w:right="90"/>
        <w:rPr>
          <w:rFonts w:ascii="Arial" w:hAnsi="Arial" w:cs="Arial"/>
          <w:sz w:val="40"/>
          <w:szCs w:val="28"/>
        </w:rPr>
      </w:pPr>
      <w:r>
        <w:rPr>
          <w:rFonts w:ascii="Arial" w:hAnsi="Arial" w:cs="Arial"/>
          <w:sz w:val="36"/>
        </w:rPr>
        <w:tab/>
      </w:r>
    </w:p>
    <w:p w14:paraId="3C816F93" w14:textId="77777777" w:rsidR="004856CB" w:rsidRDefault="004856CB" w:rsidP="004856CB">
      <w:pPr>
        <w:suppressAutoHyphens/>
        <w:spacing w:line="276" w:lineRule="auto"/>
        <w:ind w:left="3420" w:right="90"/>
        <w:jc w:val="center"/>
        <w:rPr>
          <w:rFonts w:ascii="Arial" w:hAnsi="Arial" w:cs="Arial"/>
          <w:b/>
          <w:bCs/>
          <w:sz w:val="36"/>
        </w:rPr>
      </w:pPr>
      <w:r w:rsidRPr="000648D2">
        <w:rPr>
          <w:rFonts w:ascii="Arial" w:hAnsi="Arial" w:cs="Arial"/>
          <w:b/>
          <w:bCs/>
          <w:sz w:val="36"/>
        </w:rPr>
        <w:t xml:space="preserve">Lightning protection system components </w:t>
      </w:r>
      <w:r>
        <w:rPr>
          <w:rFonts w:ascii="Arial" w:hAnsi="Arial" w:cs="Arial"/>
          <w:b/>
          <w:bCs/>
          <w:sz w:val="36"/>
        </w:rPr>
        <w:t>(</w:t>
      </w:r>
      <w:r w:rsidRPr="000648D2">
        <w:rPr>
          <w:rFonts w:ascii="Arial" w:hAnsi="Arial" w:cs="Arial"/>
          <w:b/>
          <w:bCs/>
          <w:sz w:val="36"/>
        </w:rPr>
        <w:t>LPSC</w:t>
      </w:r>
      <w:r>
        <w:rPr>
          <w:rFonts w:ascii="Arial" w:hAnsi="Arial" w:cs="Arial"/>
          <w:b/>
          <w:bCs/>
          <w:sz w:val="36"/>
        </w:rPr>
        <w:t>)</w:t>
      </w:r>
    </w:p>
    <w:p w14:paraId="4CA227A7" w14:textId="77777777" w:rsidR="004856CB" w:rsidRDefault="004856CB" w:rsidP="004856CB">
      <w:pPr>
        <w:suppressAutoHyphens/>
        <w:ind w:left="3420" w:right="90"/>
        <w:jc w:val="center"/>
        <w:rPr>
          <w:rFonts w:ascii="Arial" w:hAnsi="Arial" w:cs="Arial"/>
          <w:sz w:val="32"/>
          <w:szCs w:val="22"/>
        </w:rPr>
      </w:pPr>
      <w:r w:rsidRPr="00BE08C5">
        <w:rPr>
          <w:rFonts w:ascii="Arial" w:hAnsi="Arial" w:cs="Arial"/>
          <w:sz w:val="32"/>
          <w:szCs w:val="22"/>
        </w:rPr>
        <w:t xml:space="preserve">Part </w:t>
      </w:r>
      <w:r>
        <w:rPr>
          <w:rFonts w:ascii="Arial" w:hAnsi="Arial" w:cs="Arial"/>
          <w:sz w:val="32"/>
          <w:szCs w:val="22"/>
        </w:rPr>
        <w:t>3</w:t>
      </w:r>
      <w:r w:rsidRPr="00BE08C5">
        <w:rPr>
          <w:rFonts w:ascii="Arial" w:hAnsi="Arial" w:cs="Arial"/>
          <w:sz w:val="32"/>
          <w:szCs w:val="22"/>
        </w:rPr>
        <w:t xml:space="preserve"> </w:t>
      </w:r>
      <w:r w:rsidRPr="004856CB">
        <w:rPr>
          <w:rFonts w:ascii="Arial" w:hAnsi="Arial" w:cs="Arial"/>
          <w:sz w:val="32"/>
          <w:szCs w:val="22"/>
        </w:rPr>
        <w:t xml:space="preserve">Requirements for </w:t>
      </w:r>
      <w:r w:rsidR="000C0773">
        <w:rPr>
          <w:rFonts w:ascii="Arial" w:hAnsi="Arial" w:cs="Arial"/>
          <w:sz w:val="32"/>
          <w:szCs w:val="22"/>
        </w:rPr>
        <w:t>I</w:t>
      </w:r>
      <w:r w:rsidRPr="004856CB">
        <w:rPr>
          <w:rFonts w:ascii="Arial" w:hAnsi="Arial" w:cs="Arial"/>
          <w:sz w:val="32"/>
          <w:szCs w:val="22"/>
        </w:rPr>
        <w:t xml:space="preserve">solating </w:t>
      </w:r>
      <w:r w:rsidR="000C0773">
        <w:rPr>
          <w:rFonts w:ascii="Arial" w:hAnsi="Arial" w:cs="Arial"/>
          <w:sz w:val="32"/>
          <w:szCs w:val="22"/>
        </w:rPr>
        <w:t>S</w:t>
      </w:r>
      <w:r w:rsidRPr="004856CB">
        <w:rPr>
          <w:rFonts w:ascii="Arial" w:hAnsi="Arial" w:cs="Arial"/>
          <w:sz w:val="32"/>
          <w:szCs w:val="22"/>
        </w:rPr>
        <w:t xml:space="preserve">park </w:t>
      </w:r>
      <w:r w:rsidR="000C0773">
        <w:rPr>
          <w:rFonts w:ascii="Arial" w:hAnsi="Arial" w:cs="Arial"/>
          <w:sz w:val="32"/>
          <w:szCs w:val="22"/>
        </w:rPr>
        <w:t>G</w:t>
      </w:r>
      <w:r w:rsidRPr="004856CB">
        <w:rPr>
          <w:rFonts w:ascii="Arial" w:hAnsi="Arial" w:cs="Arial"/>
          <w:sz w:val="32"/>
          <w:szCs w:val="22"/>
        </w:rPr>
        <w:t>aps ISGs</w:t>
      </w:r>
    </w:p>
    <w:p w14:paraId="03D815ED" w14:textId="77777777" w:rsidR="004856CB" w:rsidRPr="00FB42C4" w:rsidRDefault="004856CB" w:rsidP="004856CB">
      <w:pPr>
        <w:suppressAutoHyphens/>
        <w:ind w:right="90"/>
        <w:rPr>
          <w:rFonts w:ascii="Arial" w:hAnsi="Arial" w:cs="Arial"/>
          <w:bCs/>
        </w:rPr>
      </w:pPr>
    </w:p>
    <w:p w14:paraId="13CDD9ED" w14:textId="77777777" w:rsidR="004856CB" w:rsidRPr="000D13C4" w:rsidRDefault="004856CB" w:rsidP="004856CB">
      <w:pPr>
        <w:suppressAutoHyphens/>
        <w:ind w:left="3420" w:right="90"/>
        <w:jc w:val="center"/>
        <w:rPr>
          <w:rFonts w:ascii="Arial" w:eastAsia="PMingLiU" w:hAnsi="Arial" w:cs="Arial"/>
          <w:bCs/>
          <w:lang w:eastAsia="zh-TW"/>
        </w:rPr>
      </w:pPr>
    </w:p>
    <w:p w14:paraId="5B2E0EBF" w14:textId="77777777" w:rsidR="004856CB" w:rsidRPr="000D13C4" w:rsidRDefault="004856CB" w:rsidP="004856CB">
      <w:pPr>
        <w:suppressAutoHyphens/>
        <w:ind w:left="3420" w:right="90"/>
        <w:jc w:val="center"/>
        <w:rPr>
          <w:rFonts w:ascii="Segoe UI" w:hAnsi="Segoe UI" w:cs="Segoe UI"/>
          <w:color w:val="212529"/>
          <w:shd w:val="clear" w:color="auto" w:fill="CEF1F3"/>
        </w:rPr>
      </w:pPr>
      <w:r w:rsidRPr="000D13C4">
        <w:rPr>
          <w:rFonts w:ascii="Arial" w:eastAsia="PMingLiU" w:hAnsi="Arial" w:cs="Arial"/>
          <w:bCs/>
          <w:lang w:eastAsia="zh-TW"/>
        </w:rPr>
        <w:t xml:space="preserve">ICS </w:t>
      </w:r>
      <w:r w:rsidRPr="000648D2">
        <w:rPr>
          <w:rFonts w:ascii="Arial" w:eastAsia="PMingLiU" w:hAnsi="Arial" w:cs="Arial"/>
          <w:bCs/>
          <w:lang w:eastAsia="zh-TW"/>
        </w:rPr>
        <w:t>29.020; 91.120.40</w:t>
      </w:r>
      <w:r w:rsidRPr="000D13C4">
        <w:rPr>
          <w:rFonts w:ascii="Segoe UI" w:hAnsi="Segoe UI" w:cs="Segoe UI"/>
          <w:color w:val="212529"/>
          <w:shd w:val="clear" w:color="auto" w:fill="CEF1F3"/>
        </w:rPr>
        <w:t xml:space="preserve"> </w:t>
      </w:r>
    </w:p>
    <w:p w14:paraId="10F89154" w14:textId="77777777" w:rsidR="004856CB" w:rsidRPr="000D13C4" w:rsidRDefault="004856CB" w:rsidP="004856CB">
      <w:pPr>
        <w:suppressAutoHyphens/>
        <w:ind w:left="3420" w:right="90"/>
        <w:jc w:val="center"/>
        <w:rPr>
          <w:rFonts w:ascii="Arial" w:hAnsi="Arial" w:cs="Arial"/>
          <w:color w:val="212529"/>
          <w:shd w:val="clear" w:color="auto" w:fill="CEF1F3"/>
        </w:rPr>
      </w:pPr>
    </w:p>
    <w:p w14:paraId="2AEBF21F" w14:textId="77777777" w:rsidR="004856CB" w:rsidRPr="000D13C4" w:rsidRDefault="004856CB" w:rsidP="004856CB">
      <w:pPr>
        <w:suppressAutoHyphens/>
        <w:ind w:left="3420" w:right="90"/>
        <w:jc w:val="center"/>
        <w:rPr>
          <w:rFonts w:ascii="Arial" w:hAnsi="Arial" w:cs="Arial"/>
          <w:color w:val="212529"/>
          <w:shd w:val="clear" w:color="auto" w:fill="CEF1F3"/>
        </w:rPr>
      </w:pPr>
    </w:p>
    <w:p w14:paraId="38B4685A" w14:textId="77777777" w:rsidR="004856CB" w:rsidRPr="000D13C4" w:rsidRDefault="004856CB" w:rsidP="004856CB">
      <w:pPr>
        <w:suppressAutoHyphens/>
        <w:ind w:left="3420" w:right="90"/>
        <w:jc w:val="center"/>
        <w:rPr>
          <w:rFonts w:ascii="Arial" w:hAnsi="Arial" w:cs="Arial"/>
          <w:color w:val="212529"/>
          <w:shd w:val="clear" w:color="auto" w:fill="CEF1F3"/>
        </w:rPr>
      </w:pPr>
    </w:p>
    <w:p w14:paraId="7C141D68" w14:textId="77777777" w:rsidR="004856CB" w:rsidRPr="000D13C4" w:rsidRDefault="004856CB" w:rsidP="004856CB">
      <w:pPr>
        <w:suppressAutoHyphens/>
        <w:ind w:left="3420" w:right="90"/>
        <w:jc w:val="center"/>
        <w:rPr>
          <w:rFonts w:ascii="Arial" w:hAnsi="Arial" w:cs="Arial"/>
          <w:color w:val="212529"/>
          <w:shd w:val="clear" w:color="auto" w:fill="CEF1F3"/>
        </w:rPr>
      </w:pPr>
    </w:p>
    <w:p w14:paraId="2AB92162" w14:textId="77777777" w:rsidR="004856CB" w:rsidRPr="000D13C4" w:rsidRDefault="004856CB" w:rsidP="004856CB">
      <w:pPr>
        <w:suppressAutoHyphens/>
        <w:ind w:left="3420" w:right="90"/>
        <w:jc w:val="center"/>
        <w:rPr>
          <w:rFonts w:ascii="Arial" w:hAnsi="Arial" w:cs="Arial"/>
        </w:rPr>
      </w:pPr>
    </w:p>
    <w:p w14:paraId="1B427728" w14:textId="77777777" w:rsidR="004856CB" w:rsidRPr="000D13C4" w:rsidRDefault="004856CB" w:rsidP="004856CB">
      <w:pPr>
        <w:suppressAutoHyphens/>
        <w:ind w:left="3420" w:right="90"/>
        <w:jc w:val="center"/>
        <w:rPr>
          <w:rFonts w:ascii="Segoe UI" w:hAnsi="Segoe UI" w:cs="Segoe UI"/>
          <w:color w:val="212529"/>
          <w:shd w:val="clear" w:color="auto" w:fill="CEF1F3"/>
        </w:rPr>
      </w:pPr>
      <w:r w:rsidRPr="000D13C4">
        <w:rPr>
          <w:rFonts w:ascii="Arial" w:hAnsi="Arial" w:cs="Arial"/>
        </w:rPr>
        <w:sym w:font="Symbol" w:char="00D3"/>
      </w:r>
      <w:r w:rsidRPr="000D13C4">
        <w:rPr>
          <w:rFonts w:ascii="Arial" w:hAnsi="Arial" w:cs="Arial"/>
        </w:rPr>
        <w:t xml:space="preserve"> BIS 202</w:t>
      </w:r>
      <w:r w:rsidR="0005177D">
        <w:rPr>
          <w:rFonts w:ascii="Arial" w:hAnsi="Arial" w:cs="Arial"/>
        </w:rPr>
        <w:t>4</w:t>
      </w:r>
    </w:p>
    <w:p w14:paraId="5FE2091A" w14:textId="77777777" w:rsidR="004856CB" w:rsidRDefault="004856CB" w:rsidP="004856CB">
      <w:pPr>
        <w:suppressAutoHyphens/>
        <w:ind w:left="3420" w:right="90"/>
        <w:jc w:val="center"/>
        <w:rPr>
          <w:rFonts w:ascii="Arial" w:hAnsi="Arial" w:cs="Arial"/>
          <w:bCs/>
        </w:rPr>
      </w:pPr>
      <w:r w:rsidRPr="000D13C4">
        <w:rPr>
          <w:rFonts w:ascii="Arial" w:hAnsi="Arial" w:cs="Arial"/>
        </w:rPr>
        <w:sym w:font="Symbol" w:char="00D3"/>
      </w:r>
      <w:r>
        <w:rPr>
          <w:rFonts w:ascii="Arial" w:hAnsi="Arial" w:cs="Arial"/>
        </w:rPr>
        <w:t xml:space="preserve"> </w:t>
      </w:r>
      <w:r w:rsidRPr="00FB42C4">
        <w:rPr>
          <w:rFonts w:ascii="Arial" w:hAnsi="Arial" w:cs="Arial"/>
          <w:bCs/>
        </w:rPr>
        <w:t>IEC</w:t>
      </w:r>
      <w:r>
        <w:rPr>
          <w:rFonts w:ascii="Arial" w:hAnsi="Arial" w:cs="Arial"/>
          <w:bCs/>
        </w:rPr>
        <w:t xml:space="preserve"> 20</w:t>
      </w:r>
      <w:r w:rsidR="0005177D">
        <w:rPr>
          <w:rFonts w:ascii="Arial" w:hAnsi="Arial" w:cs="Arial"/>
          <w:bCs/>
        </w:rPr>
        <w:t>23</w:t>
      </w:r>
    </w:p>
    <w:p w14:paraId="7D8426E6" w14:textId="77777777" w:rsidR="004856CB" w:rsidRPr="000D13C4" w:rsidRDefault="004856CB" w:rsidP="004856CB">
      <w:pPr>
        <w:suppressAutoHyphens/>
        <w:ind w:left="3420" w:right="90"/>
        <w:jc w:val="center"/>
        <w:rPr>
          <w:rFonts w:ascii="Arial" w:hAnsi="Arial" w:cs="Arial"/>
          <w:b/>
          <w:sz w:val="40"/>
        </w:rPr>
      </w:pPr>
      <w:r>
        <w:rPr>
          <w:noProof/>
          <w:lang w:bidi="hi-IN"/>
        </w:rPr>
        <w:drawing>
          <wp:inline distT="0" distB="0" distL="0" distR="0" wp14:anchorId="01B8D987" wp14:editId="2B7DC877">
            <wp:extent cx="368300" cy="36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300" cy="368300"/>
                    </a:xfrm>
                    <a:prstGeom prst="rect">
                      <a:avLst/>
                    </a:prstGeom>
                  </pic:spPr>
                </pic:pic>
              </a:graphicData>
            </a:graphic>
          </wp:inline>
        </w:drawing>
      </w:r>
      <w:r w:rsidRPr="000D13C4">
        <w:rPr>
          <w:noProof/>
          <w:lang w:bidi="hi-IN"/>
        </w:rPr>
        <mc:AlternateContent>
          <mc:Choice Requires="wpg">
            <w:drawing>
              <wp:inline distT="0" distB="0" distL="0" distR="0" wp14:anchorId="13804E75" wp14:editId="3C4EA516">
                <wp:extent cx="4030345" cy="63500"/>
                <wp:effectExtent l="8255" t="3175"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9197722"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r w:rsidRPr="000D13C4">
        <w:rPr>
          <w:rFonts w:ascii="Arial" w:hAnsi="Arial" w:cs="Arial"/>
        </w:rPr>
        <w:t xml:space="preserve">  </w:t>
      </w:r>
    </w:p>
    <w:p w14:paraId="51D53A71" w14:textId="77777777" w:rsidR="004856CB" w:rsidRDefault="004856CB" w:rsidP="004856CB">
      <w:pPr>
        <w:suppressAutoHyphens/>
        <w:ind w:left="3420" w:right="90"/>
        <w:jc w:val="center"/>
        <w:rPr>
          <w:rFonts w:ascii="Kokila" w:hAnsi="Kokila" w:cs="Kokila"/>
          <w:caps/>
          <w:sz w:val="28"/>
          <w:szCs w:val="28"/>
          <w:lang w:bidi="hi-IN"/>
        </w:rPr>
      </w:pPr>
    </w:p>
    <w:p w14:paraId="7C2FE8AC" w14:textId="77777777" w:rsidR="004856CB" w:rsidRPr="000D13C4" w:rsidRDefault="004856CB" w:rsidP="004856CB">
      <w:pPr>
        <w:suppressAutoHyphens/>
        <w:ind w:left="4770"/>
        <w:jc w:val="center"/>
        <w:rPr>
          <w:rFonts w:ascii="Arial" w:hAnsi="Arial" w:cs="Arial"/>
          <w:b/>
          <w:sz w:val="40"/>
        </w:rPr>
      </w:pPr>
      <w:r w:rsidRPr="000D13C4">
        <w:rPr>
          <w:rFonts w:ascii="Kokila" w:hAnsi="Kokila" w:cs="Kokila"/>
          <w:caps/>
          <w:sz w:val="28"/>
          <w:szCs w:val="28"/>
          <w:cs/>
          <w:lang w:bidi="hi-IN"/>
        </w:rPr>
        <w:t>भारतीय मानक ब्यूरो</w:t>
      </w:r>
    </w:p>
    <w:p w14:paraId="54FE16B4" w14:textId="77777777" w:rsidR="004856CB" w:rsidRPr="00FB42C4" w:rsidRDefault="000040E2" w:rsidP="004856CB">
      <w:pPr>
        <w:suppressAutoHyphens/>
        <w:autoSpaceDE w:val="0"/>
        <w:autoSpaceDN w:val="0"/>
        <w:adjustRightInd w:val="0"/>
        <w:ind w:left="4770"/>
        <w:jc w:val="center"/>
        <w:rPr>
          <w:rFonts w:ascii="Arial" w:hAnsi="Arial" w:cs="Arial"/>
          <w:bCs/>
          <w:color w:val="231F20"/>
          <w:spacing w:val="22"/>
          <w:lang w:bidi="hi-IN"/>
        </w:rPr>
      </w:pPr>
      <w:r>
        <w:rPr>
          <w:rFonts w:ascii="Arial" w:hAnsi="Arial" w:cs="Arial"/>
        </w:rPr>
        <w:object w:dxaOrig="1440" w:dyaOrig="1440" w14:anchorId="30201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85pt;margin-top:9.1pt;width:61.2pt;height:61.2pt;z-index:251659264" o:allowincell="f">
            <v:imagedata r:id="rId8" o:title=""/>
          </v:shape>
          <o:OLEObject Type="Embed" ProgID="MSPhotoEd.3" ShapeID="_x0000_s1026" DrawAspect="Content" ObjectID="_1787733064" r:id="rId9"/>
        </w:object>
      </w:r>
      <w:r w:rsidR="004856CB" w:rsidRPr="00FB42C4">
        <w:rPr>
          <w:rFonts w:ascii="Arial" w:hAnsi="Arial" w:cs="Arial"/>
          <w:bCs/>
          <w:color w:val="231F20"/>
          <w:spacing w:val="22"/>
        </w:rPr>
        <w:t>BUREAU OF INDIAN STANDARDS</w:t>
      </w:r>
    </w:p>
    <w:p w14:paraId="32B9D9EC" w14:textId="77777777" w:rsidR="004856CB" w:rsidRPr="00FB42C4" w:rsidRDefault="004856CB" w:rsidP="004856CB">
      <w:pPr>
        <w:suppressAutoHyphens/>
        <w:ind w:left="4770"/>
        <w:jc w:val="center"/>
        <w:rPr>
          <w:rFonts w:ascii="Arial" w:hAnsi="Arial" w:cs="Kokila"/>
          <w:b/>
          <w:bCs/>
          <w:color w:val="231F20"/>
          <w:spacing w:val="22"/>
        </w:rPr>
      </w:pPr>
      <w:r w:rsidRPr="00FB42C4">
        <w:rPr>
          <w:rFonts w:ascii="Mangal" w:hAnsi="Mangal" w:cs="Kokila" w:hint="cs"/>
          <w:caps/>
          <w:cs/>
          <w:lang w:bidi="hi-IN"/>
        </w:rPr>
        <w:t>मानक</w:t>
      </w:r>
      <w:r w:rsidRPr="00FB42C4">
        <w:rPr>
          <w:rFonts w:ascii="Arial" w:hAnsi="Arial" w:cs="Kokila"/>
          <w:caps/>
          <w:cs/>
          <w:lang w:bidi="hi-IN"/>
        </w:rPr>
        <w:t xml:space="preserve"> </w:t>
      </w:r>
      <w:r w:rsidRPr="00FB42C4">
        <w:rPr>
          <w:rFonts w:ascii="Mangal" w:hAnsi="Mangal" w:cs="Kokila" w:hint="cs"/>
          <w:caps/>
          <w:cs/>
          <w:lang w:bidi="hi-IN"/>
        </w:rPr>
        <w:t>भवन</w:t>
      </w:r>
      <w:r w:rsidRPr="00FB42C4">
        <w:rPr>
          <w:rFonts w:ascii="Arial" w:hAnsi="Arial" w:cs="Kokila"/>
          <w:caps/>
        </w:rPr>
        <w:t xml:space="preserve">, </w:t>
      </w:r>
      <w:r w:rsidRPr="00FB42C4">
        <w:rPr>
          <w:rFonts w:ascii="Arial" w:hAnsi="Arial" w:cs="Kokila"/>
          <w:caps/>
          <w:sz w:val="18"/>
          <w:szCs w:val="18"/>
        </w:rPr>
        <w:t>9</w:t>
      </w:r>
      <w:r w:rsidRPr="00FB42C4">
        <w:rPr>
          <w:rFonts w:ascii="Arial" w:hAnsi="Arial" w:cs="Kokila"/>
          <w:caps/>
          <w:sz w:val="22"/>
          <w:szCs w:val="22"/>
        </w:rPr>
        <w:t xml:space="preserve"> </w:t>
      </w:r>
      <w:r w:rsidRPr="00FB42C4">
        <w:rPr>
          <w:rFonts w:ascii="Mangal" w:hAnsi="Mangal" w:cs="Kokila" w:hint="cs"/>
          <w:caps/>
          <w:cs/>
          <w:lang w:bidi="hi-IN"/>
        </w:rPr>
        <w:t>बहादुर</w:t>
      </w:r>
      <w:r w:rsidRPr="00FB42C4">
        <w:rPr>
          <w:rFonts w:ascii="Arial" w:hAnsi="Arial" w:cs="Kokila"/>
          <w:caps/>
          <w:cs/>
          <w:lang w:bidi="hi-IN"/>
        </w:rPr>
        <w:t xml:space="preserve"> </w:t>
      </w:r>
      <w:r w:rsidRPr="00FB42C4">
        <w:rPr>
          <w:rFonts w:ascii="Mangal" w:hAnsi="Mangal" w:cs="Kokila" w:hint="cs"/>
          <w:caps/>
          <w:cs/>
          <w:lang w:bidi="hi-IN"/>
        </w:rPr>
        <w:t>शाह</w:t>
      </w:r>
      <w:r w:rsidRPr="00FB42C4">
        <w:rPr>
          <w:rFonts w:ascii="Arial" w:hAnsi="Arial" w:cs="Kokila"/>
          <w:caps/>
          <w:cs/>
          <w:lang w:bidi="hi-IN"/>
        </w:rPr>
        <w:t xml:space="preserve"> </w:t>
      </w:r>
      <w:r w:rsidRPr="00FB42C4">
        <w:rPr>
          <w:rFonts w:ascii="Mangal" w:hAnsi="Mangal" w:cs="Kokila" w:hint="cs"/>
          <w:caps/>
          <w:cs/>
          <w:lang w:bidi="hi-IN"/>
        </w:rPr>
        <w:t>ज़फर</w:t>
      </w:r>
      <w:r w:rsidRPr="00FB42C4">
        <w:rPr>
          <w:rFonts w:ascii="Arial" w:hAnsi="Arial" w:cs="Kokila"/>
          <w:caps/>
          <w:cs/>
          <w:lang w:bidi="hi-IN"/>
        </w:rPr>
        <w:t xml:space="preserve"> </w:t>
      </w:r>
      <w:r w:rsidRPr="00FB42C4">
        <w:rPr>
          <w:rFonts w:ascii="Mangal" w:hAnsi="Mangal" w:cs="Kokila" w:hint="cs"/>
          <w:caps/>
          <w:cs/>
          <w:lang w:bidi="hi-IN"/>
        </w:rPr>
        <w:t>मार्ग</w:t>
      </w:r>
      <w:r w:rsidRPr="00FB42C4">
        <w:rPr>
          <w:rFonts w:ascii="Arial" w:hAnsi="Arial" w:cs="Kokila"/>
          <w:caps/>
        </w:rPr>
        <w:t xml:space="preserve">, </w:t>
      </w:r>
      <w:r w:rsidRPr="00FB42C4">
        <w:rPr>
          <w:rFonts w:ascii="Mangal" w:hAnsi="Mangal" w:cs="Kokila" w:hint="cs"/>
          <w:caps/>
          <w:cs/>
          <w:lang w:bidi="hi-IN"/>
        </w:rPr>
        <w:t>नई</w:t>
      </w:r>
      <w:r w:rsidRPr="00FB42C4">
        <w:rPr>
          <w:rFonts w:ascii="Arial" w:hAnsi="Arial" w:cs="Kokila"/>
          <w:caps/>
          <w:cs/>
          <w:lang w:bidi="hi-IN"/>
        </w:rPr>
        <w:t xml:space="preserve"> </w:t>
      </w:r>
      <w:r w:rsidRPr="00FB42C4">
        <w:rPr>
          <w:rFonts w:ascii="Mangal" w:hAnsi="Mangal" w:cs="Kokila" w:hint="cs"/>
          <w:caps/>
          <w:cs/>
          <w:lang w:bidi="hi-IN"/>
        </w:rPr>
        <w:t>दिल्ली</w:t>
      </w:r>
      <w:r w:rsidRPr="00FB42C4">
        <w:rPr>
          <w:rFonts w:ascii="Arial" w:hAnsi="Arial" w:cs="Kokila"/>
          <w:caps/>
          <w:cs/>
          <w:lang w:bidi="hi-IN"/>
        </w:rPr>
        <w:t xml:space="preserve"> -</w:t>
      </w:r>
      <w:r w:rsidRPr="00FB42C4">
        <w:rPr>
          <w:rFonts w:ascii="Arial" w:hAnsi="Arial" w:cs="Arial"/>
          <w:caps/>
          <w:rtl/>
        </w:rPr>
        <w:t xml:space="preserve"> </w:t>
      </w:r>
      <w:r w:rsidRPr="00FB42C4">
        <w:rPr>
          <w:rFonts w:ascii="Arial" w:hAnsi="Arial" w:cs="Kokila"/>
          <w:bCs/>
          <w:caps/>
          <w:sz w:val="18"/>
          <w:szCs w:val="18"/>
        </w:rPr>
        <w:t>110002</w:t>
      </w:r>
    </w:p>
    <w:p w14:paraId="1EEA071B" w14:textId="77777777" w:rsidR="004856CB" w:rsidRPr="000D13C4" w:rsidRDefault="004856CB" w:rsidP="004856CB">
      <w:pPr>
        <w:tabs>
          <w:tab w:val="left" w:pos="3828"/>
          <w:tab w:val="left" w:pos="4253"/>
          <w:tab w:val="left" w:pos="4320"/>
        </w:tabs>
        <w:suppressAutoHyphens/>
        <w:autoSpaceDE w:val="0"/>
        <w:autoSpaceDN w:val="0"/>
        <w:adjustRightInd w:val="0"/>
        <w:ind w:left="4770"/>
        <w:jc w:val="center"/>
        <w:rPr>
          <w:rFonts w:ascii="Arial" w:hAnsi="Arial" w:cs="Arial"/>
          <w:color w:val="231F20"/>
          <w:sz w:val="20"/>
        </w:rPr>
      </w:pPr>
      <w:r w:rsidRPr="000D13C4">
        <w:rPr>
          <w:rFonts w:ascii="Arial" w:hAnsi="Arial" w:cs="Arial"/>
          <w:color w:val="231F20"/>
          <w:sz w:val="20"/>
        </w:rPr>
        <w:t>MANAK BHA</w:t>
      </w:r>
      <w:r w:rsidRPr="000D13C4">
        <w:rPr>
          <w:rFonts w:ascii="Arial" w:hAnsi="Arial" w:cs="Arial"/>
          <w:color w:val="231F20"/>
          <w:sz w:val="20"/>
          <w:lang w:bidi="hi-IN"/>
        </w:rPr>
        <w:t>V</w:t>
      </w:r>
      <w:r w:rsidRPr="000D13C4">
        <w:rPr>
          <w:rFonts w:ascii="Arial" w:hAnsi="Arial" w:cs="Arial"/>
          <w:color w:val="231F20"/>
          <w:sz w:val="20"/>
        </w:rPr>
        <w:t>AN, 9 BAHADUR SHAH ZAFAR MARG</w:t>
      </w:r>
    </w:p>
    <w:p w14:paraId="131F5E85" w14:textId="77777777" w:rsidR="004856CB" w:rsidRPr="000D13C4" w:rsidRDefault="004856CB" w:rsidP="004856CB">
      <w:pPr>
        <w:tabs>
          <w:tab w:val="left" w:pos="3119"/>
          <w:tab w:val="left" w:pos="3828"/>
          <w:tab w:val="left" w:pos="4253"/>
        </w:tabs>
        <w:suppressAutoHyphens/>
        <w:autoSpaceDE w:val="0"/>
        <w:autoSpaceDN w:val="0"/>
        <w:adjustRightInd w:val="0"/>
        <w:ind w:left="4770"/>
        <w:jc w:val="center"/>
        <w:rPr>
          <w:rFonts w:ascii="Arial" w:hAnsi="Arial" w:cs="Arial"/>
          <w:color w:val="231F20"/>
          <w:sz w:val="20"/>
        </w:rPr>
      </w:pPr>
      <w:r w:rsidRPr="000D13C4">
        <w:rPr>
          <w:rFonts w:ascii="Arial" w:hAnsi="Arial" w:cs="Arial"/>
          <w:color w:val="231F20"/>
          <w:sz w:val="20"/>
        </w:rPr>
        <w:t>NEW DELHI - 110002</w:t>
      </w:r>
    </w:p>
    <w:p w14:paraId="3579C146" w14:textId="77777777" w:rsidR="004856CB" w:rsidRPr="006368BC" w:rsidRDefault="000040E2" w:rsidP="004856CB">
      <w:pPr>
        <w:suppressAutoHyphens/>
        <w:ind w:left="4770"/>
        <w:jc w:val="center"/>
        <w:rPr>
          <w:rFonts w:ascii="Arial" w:hAnsi="Arial" w:cs="Arial"/>
          <w:sz w:val="18"/>
          <w:szCs w:val="22"/>
        </w:rPr>
      </w:pPr>
      <w:hyperlink r:id="rId10" w:history="1">
        <w:r w:rsidR="004856CB" w:rsidRPr="00FB42C4">
          <w:rPr>
            <w:rFonts w:ascii="Arial" w:hAnsi="Arial" w:cs="Arial"/>
            <w:color w:val="0000FF"/>
            <w:sz w:val="22"/>
            <w:szCs w:val="22"/>
            <w:u w:val="single"/>
          </w:rPr>
          <w:t>www.bis.gov.in</w:t>
        </w:r>
      </w:hyperlink>
      <w:r w:rsidR="004856CB" w:rsidRPr="00FB42C4">
        <w:rPr>
          <w:rFonts w:ascii="Arial" w:hAnsi="Arial" w:cs="Arial"/>
          <w:sz w:val="18"/>
          <w:szCs w:val="22"/>
        </w:rPr>
        <w:t xml:space="preserve">     </w:t>
      </w:r>
      <w:hyperlink r:id="rId11" w:history="1">
        <w:r w:rsidR="004856CB" w:rsidRPr="00FB42C4">
          <w:rPr>
            <w:rFonts w:ascii="Arial" w:hAnsi="Arial" w:cs="Arial"/>
            <w:color w:val="0000FF"/>
            <w:sz w:val="22"/>
            <w:szCs w:val="22"/>
            <w:u w:val="single"/>
          </w:rPr>
          <w:t>www.standardsbis.in</w:t>
        </w:r>
      </w:hyperlink>
    </w:p>
    <w:p w14:paraId="487A4DC6" w14:textId="6B24C646" w:rsidR="004856CB" w:rsidRDefault="004856CB" w:rsidP="00756124">
      <w:pPr>
        <w:ind w:left="3420" w:right="90"/>
        <w:rPr>
          <w:rFonts w:ascii="Arial" w:hAnsi="Arial" w:cs="Arial"/>
          <w:b/>
          <w:bCs/>
          <w:iCs/>
        </w:rPr>
      </w:pPr>
      <w:r>
        <w:rPr>
          <w:rFonts w:ascii="Arial" w:hAnsi="Arial" w:cs="Arial"/>
          <w:b/>
          <w:bCs/>
          <w:iCs/>
        </w:rPr>
        <w:t xml:space="preserve"> </w:t>
      </w:r>
    </w:p>
    <w:p w14:paraId="170678ED" w14:textId="77777777" w:rsidR="004856CB" w:rsidRDefault="004856CB" w:rsidP="004856CB">
      <w:pPr>
        <w:ind w:left="3420" w:right="90"/>
        <w:rPr>
          <w:rFonts w:ascii="Arial" w:hAnsi="Arial" w:cs="Arial"/>
          <w:b/>
          <w:bCs/>
          <w:iCs/>
        </w:rPr>
      </w:pPr>
    </w:p>
    <w:p w14:paraId="6E59E753" w14:textId="77777777" w:rsidR="004856CB" w:rsidRDefault="004856CB" w:rsidP="004856CB">
      <w:pPr>
        <w:ind w:left="3420" w:right="90"/>
        <w:rPr>
          <w:rFonts w:ascii="Arial" w:hAnsi="Arial" w:cs="Arial"/>
          <w:b/>
          <w:bCs/>
          <w:iCs/>
        </w:rPr>
      </w:pPr>
    </w:p>
    <w:p w14:paraId="0A0C4315" w14:textId="77777777" w:rsidR="004856CB" w:rsidRDefault="004856CB" w:rsidP="004856CB">
      <w:pPr>
        <w:ind w:left="3420" w:right="90"/>
        <w:rPr>
          <w:rFonts w:ascii="Arial" w:hAnsi="Arial" w:cs="Arial"/>
          <w:b/>
          <w:bCs/>
          <w:iCs/>
        </w:rPr>
      </w:pPr>
    </w:p>
    <w:p w14:paraId="13762DB6" w14:textId="03548BFF" w:rsidR="004856CB" w:rsidRDefault="002F3C86" w:rsidP="004856CB">
      <w:pPr>
        <w:ind w:left="3420" w:right="90"/>
      </w:pPr>
      <w:bookmarkStart w:id="0" w:name="_GoBack"/>
      <w:r>
        <w:rPr>
          <w:rFonts w:ascii="Arial" w:hAnsi="Arial" w:cs="Arial"/>
          <w:b/>
          <w:bCs/>
          <w:iCs/>
        </w:rPr>
        <w:t>September</w:t>
      </w:r>
      <w:bookmarkEnd w:id="0"/>
      <w:r w:rsidR="004856CB" w:rsidRPr="000D13C4">
        <w:rPr>
          <w:rFonts w:ascii="Arial" w:hAnsi="Arial" w:cs="Arial"/>
          <w:b/>
          <w:bCs/>
          <w:iCs/>
        </w:rPr>
        <w:t xml:space="preserve"> </w:t>
      </w:r>
      <w:r w:rsidR="004856CB" w:rsidRPr="000D13C4">
        <w:rPr>
          <w:rFonts w:ascii="Arial" w:hAnsi="Arial" w:cs="Arial"/>
          <w:b/>
          <w:bCs/>
        </w:rPr>
        <w:t>202</w:t>
      </w:r>
      <w:r w:rsidR="004856CB">
        <w:rPr>
          <w:rFonts w:ascii="Arial" w:hAnsi="Arial" w:cs="Arial"/>
          <w:b/>
          <w:bCs/>
        </w:rPr>
        <w:t>4</w:t>
      </w:r>
      <w:r>
        <w:rPr>
          <w:rFonts w:ascii="Arial" w:hAnsi="Arial" w:cs="Arial"/>
          <w:b/>
          <w:bCs/>
        </w:rPr>
        <w:t xml:space="preserve">                  </w:t>
      </w:r>
      <w:r w:rsidR="004856CB" w:rsidRPr="000D13C4">
        <w:rPr>
          <w:rFonts w:ascii="Arial" w:hAnsi="Arial" w:cs="Arial"/>
          <w:b/>
          <w:bCs/>
        </w:rPr>
        <w:t xml:space="preserve">   </w:t>
      </w:r>
      <w:r w:rsidR="004856CB">
        <w:rPr>
          <w:rFonts w:ascii="Arial" w:hAnsi="Arial" w:cs="Arial"/>
          <w:b/>
          <w:bCs/>
        </w:rPr>
        <w:t xml:space="preserve">      </w:t>
      </w:r>
      <w:r w:rsidR="004856CB" w:rsidRPr="000D13C4">
        <w:rPr>
          <w:rFonts w:ascii="Arial" w:hAnsi="Arial" w:cs="Arial"/>
          <w:b/>
          <w:bCs/>
        </w:rPr>
        <w:t xml:space="preserve">    </w:t>
      </w:r>
      <w:r w:rsidR="004856CB">
        <w:rPr>
          <w:rFonts w:ascii="Arial" w:hAnsi="Arial" w:cs="Arial"/>
          <w:b/>
          <w:bCs/>
        </w:rPr>
        <w:t xml:space="preserve"> </w:t>
      </w:r>
      <w:r w:rsidR="004856CB" w:rsidRPr="000D13C4">
        <w:rPr>
          <w:rFonts w:ascii="Arial" w:hAnsi="Arial" w:cs="Arial"/>
          <w:b/>
          <w:bCs/>
        </w:rPr>
        <w:t xml:space="preserve">    </w:t>
      </w:r>
      <w:r w:rsidR="004856CB">
        <w:rPr>
          <w:rFonts w:ascii="Arial" w:hAnsi="Arial" w:cs="Arial"/>
          <w:b/>
          <w:bCs/>
        </w:rPr>
        <w:t xml:space="preserve">        </w:t>
      </w:r>
      <w:r w:rsidR="004856CB" w:rsidRPr="000D13C4">
        <w:rPr>
          <w:rFonts w:ascii="Arial" w:hAnsi="Arial" w:cs="Arial"/>
          <w:b/>
          <w:bCs/>
        </w:rPr>
        <w:t>Price Grou</w:t>
      </w:r>
      <w:r w:rsidR="004856CB">
        <w:rPr>
          <w:rFonts w:ascii="Arial" w:hAnsi="Arial" w:cs="Arial"/>
          <w:b/>
          <w:bCs/>
        </w:rPr>
        <w:t>p</w:t>
      </w:r>
    </w:p>
    <w:p w14:paraId="7AEA4606" w14:textId="77777777" w:rsidR="004C2F6B" w:rsidRDefault="004C2F6B" w:rsidP="00ED24FE">
      <w:pPr>
        <w:jc w:val="both"/>
        <w:rPr>
          <w:lang w:bidi="hi-IN"/>
        </w:rPr>
      </w:pPr>
    </w:p>
    <w:p w14:paraId="320D5836" w14:textId="77777777" w:rsidR="004C2F6B" w:rsidRDefault="004C2F6B" w:rsidP="00ED24FE">
      <w:pPr>
        <w:jc w:val="both"/>
        <w:rPr>
          <w:lang w:bidi="hi-IN"/>
        </w:rPr>
      </w:pPr>
    </w:p>
    <w:p w14:paraId="017C0493" w14:textId="088D5BF4" w:rsidR="00ED24FE" w:rsidRDefault="00C63B6D" w:rsidP="00ED24FE">
      <w:pPr>
        <w:jc w:val="both"/>
      </w:pPr>
      <w:r>
        <w:rPr>
          <w:lang w:bidi="hi-IN"/>
        </w:rPr>
        <w:t>Electrical Installation</w:t>
      </w:r>
      <w:r>
        <w:t xml:space="preserve"> </w:t>
      </w:r>
      <w:r w:rsidRPr="00C10AAF">
        <w:t>Sectional Committee</w:t>
      </w:r>
      <w:r>
        <w:t>, ETD 20</w:t>
      </w:r>
    </w:p>
    <w:p w14:paraId="0DC83DA4" w14:textId="77777777" w:rsidR="00C63B6D" w:rsidRDefault="00C63B6D" w:rsidP="00ED24FE">
      <w:pPr>
        <w:jc w:val="both"/>
      </w:pPr>
    </w:p>
    <w:p w14:paraId="55F185EF" w14:textId="77777777" w:rsidR="00C63B6D" w:rsidRDefault="00C63B6D" w:rsidP="00ED24FE">
      <w:pPr>
        <w:jc w:val="both"/>
      </w:pPr>
    </w:p>
    <w:p w14:paraId="2DAC007F" w14:textId="77777777" w:rsidR="00C63B6D" w:rsidRPr="00A20CC8" w:rsidRDefault="00C63B6D" w:rsidP="00ED24FE">
      <w:pPr>
        <w:jc w:val="both"/>
      </w:pPr>
    </w:p>
    <w:p w14:paraId="3A9BE20D" w14:textId="77777777" w:rsidR="00ED24FE" w:rsidRDefault="009E3E61" w:rsidP="00ED24FE">
      <w:pPr>
        <w:jc w:val="both"/>
      </w:pPr>
      <w:r>
        <w:t xml:space="preserve">NATIONAL </w:t>
      </w:r>
      <w:r w:rsidR="00ED24FE" w:rsidRPr="00A20CC8">
        <w:t>FOREWORD</w:t>
      </w:r>
    </w:p>
    <w:p w14:paraId="093BE55E" w14:textId="77777777" w:rsidR="00ED24FE" w:rsidRDefault="00ED24FE" w:rsidP="00ED24FE">
      <w:pPr>
        <w:jc w:val="both"/>
        <w:rPr>
          <w:sz w:val="16"/>
          <w:szCs w:val="16"/>
        </w:rPr>
      </w:pPr>
    </w:p>
    <w:p w14:paraId="59DAF60D" w14:textId="77777777" w:rsidR="00C63B6D" w:rsidRPr="00A20CC8" w:rsidRDefault="00C63B6D" w:rsidP="00ED24FE">
      <w:pPr>
        <w:jc w:val="both"/>
        <w:rPr>
          <w:sz w:val="16"/>
          <w:szCs w:val="16"/>
        </w:rPr>
      </w:pPr>
    </w:p>
    <w:p w14:paraId="401E45B0" w14:textId="0317D3F9" w:rsidR="00ED24FE" w:rsidRDefault="00ED24FE" w:rsidP="00A91F50">
      <w:pPr>
        <w:autoSpaceDE w:val="0"/>
        <w:autoSpaceDN w:val="0"/>
        <w:adjustRightInd w:val="0"/>
        <w:jc w:val="both"/>
      </w:pPr>
      <w:r w:rsidRPr="00C10AAF">
        <w:t>This Standard</w:t>
      </w:r>
      <w:r w:rsidR="009E3E61">
        <w:t xml:space="preserve"> (Part 3)</w:t>
      </w:r>
      <w:r w:rsidRPr="00C10AAF">
        <w:t xml:space="preserve"> which is identical with</w:t>
      </w:r>
      <w:r w:rsidR="00713F18">
        <w:t xml:space="preserve"> </w:t>
      </w:r>
      <w:r w:rsidR="009E3E61">
        <w:t xml:space="preserve">IEC 62561-3: </w:t>
      </w:r>
      <w:r w:rsidR="00C97310">
        <w:t>2023</w:t>
      </w:r>
      <w:r w:rsidR="00024B3F" w:rsidRPr="00024B3F">
        <w:t xml:space="preserve"> </w:t>
      </w:r>
      <w:r w:rsidRPr="009F2235">
        <w:t>‘</w:t>
      </w:r>
      <w:r w:rsidR="00A91F50" w:rsidRPr="00A91F50">
        <w:rPr>
          <w:rFonts w:eastAsiaTheme="minorHAnsi"/>
        </w:rPr>
        <w:t>Lightning protection sy</w:t>
      </w:r>
      <w:r w:rsidR="009E3E61">
        <w:rPr>
          <w:rFonts w:eastAsiaTheme="minorHAnsi"/>
        </w:rPr>
        <w:t>stem components (LPSC) – Part 3</w:t>
      </w:r>
      <w:r w:rsidR="00A91F50" w:rsidRPr="00A91F50">
        <w:rPr>
          <w:rFonts w:eastAsiaTheme="minorHAnsi"/>
        </w:rPr>
        <w:t xml:space="preserve"> Requirements for isolating spark gaps (ISGs)</w:t>
      </w:r>
      <w:r w:rsidR="009F2235">
        <w:rPr>
          <w:rFonts w:eastAsiaTheme="minorHAnsi"/>
        </w:rPr>
        <w:t>’</w:t>
      </w:r>
      <w:r w:rsidR="00E72487">
        <w:t xml:space="preserve"> </w:t>
      </w:r>
      <w:r w:rsidRPr="00C10AAF">
        <w:t>issued by the</w:t>
      </w:r>
      <w:r w:rsidR="00E72487">
        <w:t xml:space="preserve"> International Electrotechnical </w:t>
      </w:r>
      <w:r w:rsidRPr="00C10AAF">
        <w:t xml:space="preserve">Commission (IEC) </w:t>
      </w:r>
      <w:r w:rsidR="009E3E61">
        <w:t xml:space="preserve">was </w:t>
      </w:r>
      <w:r w:rsidR="00FF3CD5">
        <w:t>adopted</w:t>
      </w:r>
      <w:r w:rsidRPr="00C10AAF">
        <w:t xml:space="preserve"> by the Bureau of Indian Standa</w:t>
      </w:r>
      <w:r w:rsidR="00E72487">
        <w:t xml:space="preserve">rds on the </w:t>
      </w:r>
      <w:r w:rsidRPr="00C10AAF">
        <w:t xml:space="preserve">recommendation of the </w:t>
      </w:r>
      <w:r w:rsidR="00BB6C1D">
        <w:rPr>
          <w:lang w:bidi="hi-IN"/>
        </w:rPr>
        <w:t>Electrical Installation</w:t>
      </w:r>
      <w:r w:rsidR="00BB6C1D">
        <w:t xml:space="preserve"> </w:t>
      </w:r>
      <w:r w:rsidRPr="00C10AAF">
        <w:t>Sectional Committee and approval of the Electrotechnical Division Council.</w:t>
      </w:r>
    </w:p>
    <w:p w14:paraId="442BADB5" w14:textId="5AB3BFB6" w:rsidR="003B124E" w:rsidRDefault="003B124E" w:rsidP="00A91F50">
      <w:pPr>
        <w:autoSpaceDE w:val="0"/>
        <w:autoSpaceDN w:val="0"/>
        <w:adjustRightInd w:val="0"/>
        <w:jc w:val="both"/>
      </w:pPr>
    </w:p>
    <w:p w14:paraId="5D095A11" w14:textId="77777777" w:rsidR="003B124E" w:rsidRDefault="003B124E" w:rsidP="003B124E">
      <w:pPr>
        <w:jc w:val="both"/>
        <w:rPr>
          <w:color w:val="000000" w:themeColor="text1"/>
        </w:rPr>
      </w:pPr>
      <w:r w:rsidRPr="00BA3BE8">
        <w:rPr>
          <w:color w:val="000000" w:themeColor="text1"/>
        </w:rPr>
        <w:t>This Indian Standard is published in several parts. The other parts in this series are:</w:t>
      </w:r>
    </w:p>
    <w:p w14:paraId="4AD121E8" w14:textId="77777777" w:rsidR="003B124E" w:rsidRDefault="003B124E" w:rsidP="003B12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7869"/>
      </w:tblGrid>
      <w:tr w:rsidR="003B124E" w14:paraId="232192AC" w14:textId="77777777" w:rsidTr="00907B5A">
        <w:tc>
          <w:tcPr>
            <w:tcW w:w="1481" w:type="dxa"/>
          </w:tcPr>
          <w:p w14:paraId="540E920E" w14:textId="77777777" w:rsidR="003B124E" w:rsidRDefault="003B124E" w:rsidP="009A3E0E">
            <w:pPr>
              <w:jc w:val="both"/>
              <w:rPr>
                <w:color w:val="000000" w:themeColor="text1"/>
              </w:rPr>
            </w:pPr>
            <w:r>
              <w:rPr>
                <w:color w:val="000000" w:themeColor="text1"/>
              </w:rPr>
              <w:t>Part 1</w:t>
            </w:r>
          </w:p>
        </w:tc>
        <w:tc>
          <w:tcPr>
            <w:tcW w:w="7869" w:type="dxa"/>
          </w:tcPr>
          <w:p w14:paraId="4E05F595" w14:textId="77777777" w:rsidR="003B124E" w:rsidRDefault="003B124E" w:rsidP="009A3E0E">
            <w:pPr>
              <w:jc w:val="both"/>
            </w:pPr>
            <w:r>
              <w:t>Lightning protection system components LPSC - Part 1: Requirements for connection components</w:t>
            </w:r>
          </w:p>
          <w:p w14:paraId="55AB2E71" w14:textId="77777777" w:rsidR="003B124E" w:rsidRPr="002F0689" w:rsidRDefault="003B124E" w:rsidP="009A3E0E">
            <w:pPr>
              <w:jc w:val="both"/>
              <w:rPr>
                <w:sz w:val="16"/>
                <w:szCs w:val="16"/>
              </w:rPr>
            </w:pPr>
          </w:p>
        </w:tc>
      </w:tr>
      <w:tr w:rsidR="003B124E" w14:paraId="4D18BC41" w14:textId="77777777" w:rsidTr="00907B5A">
        <w:tc>
          <w:tcPr>
            <w:tcW w:w="1481" w:type="dxa"/>
          </w:tcPr>
          <w:p w14:paraId="5A04A05B" w14:textId="77777777" w:rsidR="003B124E" w:rsidRDefault="003B124E" w:rsidP="009A3E0E">
            <w:pPr>
              <w:jc w:val="both"/>
              <w:rPr>
                <w:color w:val="000000" w:themeColor="text1"/>
              </w:rPr>
            </w:pPr>
            <w:r>
              <w:rPr>
                <w:color w:val="000000" w:themeColor="text1"/>
              </w:rPr>
              <w:t>Part 2</w:t>
            </w:r>
          </w:p>
        </w:tc>
        <w:tc>
          <w:tcPr>
            <w:tcW w:w="7869" w:type="dxa"/>
          </w:tcPr>
          <w:p w14:paraId="7E88B505" w14:textId="77777777" w:rsidR="003B124E" w:rsidRDefault="003B124E" w:rsidP="009A3E0E">
            <w:pPr>
              <w:jc w:val="both"/>
            </w:pPr>
            <w:r>
              <w:t>Lightning protection system components LPSC Part 2: Requirements for conductors and earth electrodes</w:t>
            </w:r>
          </w:p>
          <w:p w14:paraId="5D958B95" w14:textId="77777777" w:rsidR="003B124E" w:rsidRPr="00596C20" w:rsidRDefault="003B124E" w:rsidP="009A3E0E">
            <w:pPr>
              <w:jc w:val="both"/>
              <w:rPr>
                <w:sz w:val="16"/>
                <w:szCs w:val="16"/>
              </w:rPr>
            </w:pPr>
          </w:p>
        </w:tc>
      </w:tr>
      <w:tr w:rsidR="003B124E" w14:paraId="540C3B5A" w14:textId="77777777" w:rsidTr="00907B5A">
        <w:tc>
          <w:tcPr>
            <w:tcW w:w="1481" w:type="dxa"/>
          </w:tcPr>
          <w:p w14:paraId="16478797" w14:textId="77777777" w:rsidR="003B124E" w:rsidRDefault="003B124E" w:rsidP="009A3E0E">
            <w:pPr>
              <w:jc w:val="both"/>
              <w:rPr>
                <w:color w:val="000000" w:themeColor="text1"/>
              </w:rPr>
            </w:pPr>
            <w:r>
              <w:rPr>
                <w:color w:val="000000" w:themeColor="text1"/>
              </w:rPr>
              <w:t>Part 4</w:t>
            </w:r>
          </w:p>
        </w:tc>
        <w:tc>
          <w:tcPr>
            <w:tcW w:w="7869" w:type="dxa"/>
          </w:tcPr>
          <w:p w14:paraId="51296BD8" w14:textId="77777777" w:rsidR="003B124E" w:rsidRDefault="003B124E" w:rsidP="009A3E0E">
            <w:pPr>
              <w:jc w:val="both"/>
              <w:rPr>
                <w:sz w:val="16"/>
                <w:szCs w:val="16"/>
              </w:rPr>
            </w:pPr>
            <w:r>
              <w:t>Lightning protection system components LPSC Part 4: Requirements for conductor fasteners</w:t>
            </w:r>
          </w:p>
          <w:p w14:paraId="3D1B1BF4" w14:textId="77777777" w:rsidR="003B124E" w:rsidRPr="004756EF" w:rsidRDefault="003B124E" w:rsidP="009A3E0E">
            <w:pPr>
              <w:jc w:val="both"/>
              <w:rPr>
                <w:sz w:val="16"/>
                <w:szCs w:val="16"/>
              </w:rPr>
            </w:pPr>
          </w:p>
        </w:tc>
      </w:tr>
      <w:tr w:rsidR="003B124E" w14:paraId="440A8115" w14:textId="77777777" w:rsidTr="00907B5A">
        <w:tc>
          <w:tcPr>
            <w:tcW w:w="1481" w:type="dxa"/>
          </w:tcPr>
          <w:p w14:paraId="744DD21F" w14:textId="77777777" w:rsidR="003B124E" w:rsidRDefault="003B124E" w:rsidP="009A3E0E">
            <w:pPr>
              <w:jc w:val="both"/>
              <w:rPr>
                <w:color w:val="000000" w:themeColor="text1"/>
              </w:rPr>
            </w:pPr>
            <w:r>
              <w:rPr>
                <w:color w:val="000000" w:themeColor="text1"/>
              </w:rPr>
              <w:t>Part 5</w:t>
            </w:r>
          </w:p>
        </w:tc>
        <w:tc>
          <w:tcPr>
            <w:tcW w:w="7869" w:type="dxa"/>
          </w:tcPr>
          <w:p w14:paraId="6882D4B6" w14:textId="77777777" w:rsidR="003B124E" w:rsidRDefault="003B124E" w:rsidP="009A3E0E">
            <w:pPr>
              <w:jc w:val="both"/>
            </w:pPr>
            <w:r>
              <w:t>Lightning protection system components LPSC Part 5: Requirements for earth electrode inspection housings and earth electrode seals</w:t>
            </w:r>
          </w:p>
          <w:p w14:paraId="7E274838" w14:textId="77777777" w:rsidR="003B124E" w:rsidRPr="004756EF" w:rsidRDefault="003B124E" w:rsidP="009A3E0E">
            <w:pPr>
              <w:jc w:val="both"/>
              <w:rPr>
                <w:sz w:val="16"/>
                <w:szCs w:val="16"/>
              </w:rPr>
            </w:pPr>
          </w:p>
        </w:tc>
      </w:tr>
      <w:tr w:rsidR="003B124E" w14:paraId="737549F1" w14:textId="77777777" w:rsidTr="00907B5A">
        <w:tc>
          <w:tcPr>
            <w:tcW w:w="1481" w:type="dxa"/>
          </w:tcPr>
          <w:p w14:paraId="6206DC77" w14:textId="77777777" w:rsidR="003B124E" w:rsidRDefault="003B124E" w:rsidP="009A3E0E">
            <w:pPr>
              <w:jc w:val="both"/>
              <w:rPr>
                <w:color w:val="000000" w:themeColor="text1"/>
              </w:rPr>
            </w:pPr>
            <w:r>
              <w:rPr>
                <w:color w:val="000000" w:themeColor="text1"/>
              </w:rPr>
              <w:t>Part 6</w:t>
            </w:r>
          </w:p>
        </w:tc>
        <w:tc>
          <w:tcPr>
            <w:tcW w:w="7869" w:type="dxa"/>
          </w:tcPr>
          <w:p w14:paraId="3C44B944" w14:textId="77777777" w:rsidR="003B124E" w:rsidRDefault="003B124E" w:rsidP="009A3E0E">
            <w:pPr>
              <w:jc w:val="both"/>
            </w:pPr>
            <w:r>
              <w:t>Lightning protection system components LPSC Part 6: Requirements for lightning strike counters LSCs</w:t>
            </w:r>
          </w:p>
          <w:p w14:paraId="33843F18" w14:textId="77777777" w:rsidR="003B124E" w:rsidRPr="004756EF" w:rsidRDefault="003B124E" w:rsidP="009A3E0E">
            <w:pPr>
              <w:jc w:val="both"/>
              <w:rPr>
                <w:sz w:val="16"/>
                <w:szCs w:val="16"/>
              </w:rPr>
            </w:pPr>
          </w:p>
        </w:tc>
      </w:tr>
      <w:tr w:rsidR="003B124E" w14:paraId="64D29515" w14:textId="77777777" w:rsidTr="00907B5A">
        <w:tc>
          <w:tcPr>
            <w:tcW w:w="1481" w:type="dxa"/>
          </w:tcPr>
          <w:p w14:paraId="75A294AA" w14:textId="77777777" w:rsidR="003B124E" w:rsidRDefault="003B124E" w:rsidP="009A3E0E">
            <w:pPr>
              <w:jc w:val="both"/>
              <w:rPr>
                <w:color w:val="000000" w:themeColor="text1"/>
              </w:rPr>
            </w:pPr>
            <w:r>
              <w:rPr>
                <w:color w:val="000000" w:themeColor="text1"/>
              </w:rPr>
              <w:t>Part 7</w:t>
            </w:r>
          </w:p>
        </w:tc>
        <w:tc>
          <w:tcPr>
            <w:tcW w:w="7869" w:type="dxa"/>
          </w:tcPr>
          <w:p w14:paraId="792E302C" w14:textId="77777777" w:rsidR="003B124E" w:rsidRDefault="003B124E" w:rsidP="009A3E0E">
            <w:pPr>
              <w:jc w:val="both"/>
            </w:pPr>
            <w:r>
              <w:t>Lightning Protection System Components LPSC Part 7: Requirements for earthing enhancing compounds</w:t>
            </w:r>
          </w:p>
          <w:p w14:paraId="7BFAEFE8" w14:textId="77777777" w:rsidR="003B124E" w:rsidRPr="004756EF" w:rsidRDefault="003B124E" w:rsidP="009A3E0E">
            <w:pPr>
              <w:jc w:val="both"/>
              <w:rPr>
                <w:sz w:val="16"/>
                <w:szCs w:val="16"/>
              </w:rPr>
            </w:pPr>
          </w:p>
        </w:tc>
      </w:tr>
      <w:tr w:rsidR="003B124E" w14:paraId="27EC0312" w14:textId="77777777" w:rsidTr="00907B5A">
        <w:tc>
          <w:tcPr>
            <w:tcW w:w="1481" w:type="dxa"/>
          </w:tcPr>
          <w:p w14:paraId="7DAE45EE" w14:textId="77777777" w:rsidR="003B124E" w:rsidRDefault="003B124E" w:rsidP="009A3E0E">
            <w:pPr>
              <w:jc w:val="both"/>
              <w:rPr>
                <w:color w:val="000000" w:themeColor="text1"/>
              </w:rPr>
            </w:pPr>
            <w:r>
              <w:rPr>
                <w:color w:val="000000" w:themeColor="text1"/>
              </w:rPr>
              <w:t>Part 8</w:t>
            </w:r>
          </w:p>
        </w:tc>
        <w:tc>
          <w:tcPr>
            <w:tcW w:w="7869" w:type="dxa"/>
          </w:tcPr>
          <w:p w14:paraId="21BDAC9B" w14:textId="77777777" w:rsidR="003B124E" w:rsidRDefault="003B124E" w:rsidP="009A3E0E">
            <w:pPr>
              <w:jc w:val="both"/>
            </w:pPr>
            <w:r>
              <w:t>Lightning protection system components LPSC Part 8: Requirements for components for isolated LPS</w:t>
            </w:r>
          </w:p>
          <w:p w14:paraId="04937494" w14:textId="77777777" w:rsidR="003B124E" w:rsidRPr="004756EF" w:rsidRDefault="003B124E" w:rsidP="009A3E0E">
            <w:pPr>
              <w:jc w:val="both"/>
              <w:rPr>
                <w:sz w:val="16"/>
                <w:szCs w:val="16"/>
              </w:rPr>
            </w:pPr>
          </w:p>
        </w:tc>
      </w:tr>
    </w:tbl>
    <w:p w14:paraId="6464392B" w14:textId="243E90F3" w:rsidR="00AF13E1" w:rsidRDefault="00AF13E1" w:rsidP="00674AFB">
      <w:pPr>
        <w:jc w:val="both"/>
      </w:pPr>
    </w:p>
    <w:p w14:paraId="0F4B71BA" w14:textId="77777777" w:rsidR="003B124E" w:rsidRDefault="003B124E" w:rsidP="00674AFB">
      <w:pPr>
        <w:jc w:val="both"/>
      </w:pPr>
    </w:p>
    <w:p w14:paraId="73F2045B" w14:textId="77777777" w:rsidR="00ED24FE" w:rsidRPr="00A20CC8" w:rsidRDefault="00ED24FE" w:rsidP="00674AFB">
      <w:pPr>
        <w:jc w:val="both"/>
      </w:pPr>
      <w:r w:rsidRPr="00A20CC8">
        <w:t xml:space="preserve">The text of the </w:t>
      </w:r>
      <w:r w:rsidR="005A5F36">
        <w:t xml:space="preserve">IEC </w:t>
      </w:r>
      <w:r w:rsidRPr="00A20CC8">
        <w:t>Standard has been approved as suitable for publication as an Indian Standard without deviations. Certain conventions are, however, not identical to those used in Indian Standards.  Attention is particularly drawn to the following:</w:t>
      </w:r>
    </w:p>
    <w:p w14:paraId="269DF9D1" w14:textId="77777777" w:rsidR="00ED24FE" w:rsidRDefault="00ED24FE" w:rsidP="00674AFB">
      <w:pPr>
        <w:jc w:val="both"/>
      </w:pPr>
    </w:p>
    <w:p w14:paraId="158589FD" w14:textId="77777777" w:rsidR="00ED24FE" w:rsidRPr="00A20CC8" w:rsidRDefault="00ED24FE" w:rsidP="00674AFB">
      <w:pPr>
        <w:numPr>
          <w:ilvl w:val="0"/>
          <w:numId w:val="1"/>
        </w:numPr>
        <w:jc w:val="both"/>
      </w:pPr>
      <w:r w:rsidRPr="00A20CC8">
        <w:t>Wherever the words ‘International Standard’ appears referring to this standard, they should be read as ‘Indian Standard’.</w:t>
      </w:r>
    </w:p>
    <w:p w14:paraId="3F0B7831" w14:textId="77777777" w:rsidR="00ED24FE" w:rsidRPr="00A20CC8" w:rsidRDefault="00ED24FE" w:rsidP="00ED24FE">
      <w:pPr>
        <w:numPr>
          <w:ilvl w:val="0"/>
          <w:numId w:val="1"/>
        </w:numPr>
        <w:jc w:val="both"/>
      </w:pPr>
      <w:r w:rsidRPr="00A20CC8">
        <w:t>Comma (,) has been used as a decimal marker, while in Indian Standards the current practice is to use a point (.) as the decimal marker.</w:t>
      </w:r>
    </w:p>
    <w:p w14:paraId="360EBC01" w14:textId="77777777" w:rsidR="00ED24FE" w:rsidRDefault="00ED24FE" w:rsidP="00ED24FE">
      <w:pPr>
        <w:jc w:val="both"/>
      </w:pPr>
    </w:p>
    <w:tbl>
      <w:tblPr>
        <w:tblpPr w:leftFromText="180" w:rightFromText="180" w:vertAnchor="text" w:horzAnchor="margin" w:tblpY="13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3937"/>
        <w:gridCol w:w="2430"/>
      </w:tblGrid>
      <w:tr w:rsidR="00152BD5" w:rsidRPr="00D924E7" w14:paraId="5A22F71D" w14:textId="77777777" w:rsidTr="00152BD5">
        <w:trPr>
          <w:trHeight w:val="693"/>
        </w:trPr>
        <w:tc>
          <w:tcPr>
            <w:tcW w:w="3533" w:type="dxa"/>
          </w:tcPr>
          <w:p w14:paraId="6E4F41C9" w14:textId="77777777" w:rsidR="00152BD5" w:rsidRPr="006508FC" w:rsidRDefault="00152BD5" w:rsidP="00152BD5">
            <w:pPr>
              <w:keepNext/>
              <w:outlineLvl w:val="1"/>
              <w:rPr>
                <w:i/>
              </w:rPr>
            </w:pPr>
            <w:r w:rsidRPr="006508FC">
              <w:rPr>
                <w:i/>
              </w:rPr>
              <w:lastRenderedPageBreak/>
              <w:t>International Standard</w:t>
            </w:r>
          </w:p>
          <w:p w14:paraId="719BAA89" w14:textId="77777777" w:rsidR="00152BD5" w:rsidRPr="006508FC" w:rsidRDefault="00152BD5" w:rsidP="00152BD5"/>
        </w:tc>
        <w:tc>
          <w:tcPr>
            <w:tcW w:w="3937" w:type="dxa"/>
          </w:tcPr>
          <w:p w14:paraId="7BEA46F9" w14:textId="77777777" w:rsidR="00152BD5" w:rsidRPr="00D924E7" w:rsidRDefault="00152BD5" w:rsidP="00152BD5">
            <w:pPr>
              <w:jc w:val="both"/>
              <w:rPr>
                <w:i/>
              </w:rPr>
            </w:pPr>
            <w:r w:rsidRPr="00D924E7">
              <w:rPr>
                <w:i/>
              </w:rPr>
              <w:t>Corresponding Indian Standard</w:t>
            </w:r>
          </w:p>
          <w:p w14:paraId="65B1AC60" w14:textId="77777777" w:rsidR="00152BD5" w:rsidRPr="00D924E7" w:rsidRDefault="00152BD5" w:rsidP="00152BD5">
            <w:pPr>
              <w:jc w:val="both"/>
              <w:rPr>
                <w:i/>
              </w:rPr>
            </w:pPr>
          </w:p>
        </w:tc>
        <w:tc>
          <w:tcPr>
            <w:tcW w:w="2430" w:type="dxa"/>
          </w:tcPr>
          <w:p w14:paraId="6C2ECAB2" w14:textId="77777777" w:rsidR="00152BD5" w:rsidRPr="00D924E7" w:rsidRDefault="00152BD5" w:rsidP="00152BD5">
            <w:pPr>
              <w:jc w:val="both"/>
              <w:rPr>
                <w:bCs/>
                <w:i/>
              </w:rPr>
            </w:pPr>
            <w:r w:rsidRPr="00D924E7">
              <w:rPr>
                <w:bCs/>
                <w:i/>
              </w:rPr>
              <w:t>Degree of Equivalence</w:t>
            </w:r>
          </w:p>
        </w:tc>
      </w:tr>
      <w:tr w:rsidR="00024B3F" w:rsidRPr="00D924E7" w14:paraId="6034D3BF" w14:textId="77777777" w:rsidTr="00152BD5">
        <w:trPr>
          <w:trHeight w:val="693"/>
        </w:trPr>
        <w:tc>
          <w:tcPr>
            <w:tcW w:w="3533" w:type="dxa"/>
          </w:tcPr>
          <w:p w14:paraId="6E4095EC" w14:textId="1BE5730B" w:rsidR="00A91F50" w:rsidRDefault="00A91F50" w:rsidP="00B82037">
            <w:pPr>
              <w:keepNext/>
              <w:outlineLvl w:val="1"/>
            </w:pPr>
            <w:r>
              <w:t>IEC 62305-1:</w:t>
            </w:r>
            <w:r w:rsidR="00D17F83">
              <w:t xml:space="preserve"> </w:t>
            </w:r>
            <w:r>
              <w:t>2010</w:t>
            </w:r>
          </w:p>
          <w:p w14:paraId="3EC470C7" w14:textId="77777777" w:rsidR="00024B3F" w:rsidRPr="00024B3F" w:rsidRDefault="00612ADE" w:rsidP="00B82037">
            <w:pPr>
              <w:keepNext/>
              <w:outlineLvl w:val="1"/>
              <w:rPr>
                <w:iCs/>
              </w:rPr>
            </w:pPr>
            <w:r>
              <w:t>Protection against lightning – Part 1: General principles</w:t>
            </w:r>
          </w:p>
        </w:tc>
        <w:tc>
          <w:tcPr>
            <w:tcW w:w="3937" w:type="dxa"/>
          </w:tcPr>
          <w:p w14:paraId="11274774" w14:textId="3361B095" w:rsidR="00024B3F" w:rsidRPr="00024B3F" w:rsidRDefault="00612ADE" w:rsidP="00152BD5">
            <w:pPr>
              <w:jc w:val="both"/>
              <w:rPr>
                <w:iCs/>
              </w:rPr>
            </w:pPr>
            <w:r>
              <w:t>IS/IEC 62305-1: 2010</w:t>
            </w:r>
            <w:r w:rsidR="00D17F83">
              <w:t xml:space="preserve"> </w:t>
            </w:r>
            <w:r>
              <w:t>Protection Against Lightning Part 1 General Principles</w:t>
            </w:r>
          </w:p>
        </w:tc>
        <w:tc>
          <w:tcPr>
            <w:tcW w:w="2430" w:type="dxa"/>
          </w:tcPr>
          <w:p w14:paraId="2AECF9B8" w14:textId="45C01846" w:rsidR="00024B3F" w:rsidRPr="00024B3F" w:rsidRDefault="00612ADE" w:rsidP="00152BD5">
            <w:pPr>
              <w:jc w:val="both"/>
              <w:rPr>
                <w:bCs/>
                <w:iCs/>
              </w:rPr>
            </w:pPr>
            <w:r>
              <w:t>Identical with IEC 62305-1: 2010</w:t>
            </w:r>
          </w:p>
        </w:tc>
      </w:tr>
      <w:tr w:rsidR="00024B3F" w:rsidRPr="00D924E7" w14:paraId="7DB2CB6A" w14:textId="77777777" w:rsidTr="00152BD5">
        <w:trPr>
          <w:trHeight w:val="693"/>
        </w:trPr>
        <w:tc>
          <w:tcPr>
            <w:tcW w:w="3533" w:type="dxa"/>
          </w:tcPr>
          <w:p w14:paraId="65AC204C" w14:textId="6D585227" w:rsidR="00A91F50" w:rsidRDefault="00A91F50" w:rsidP="00CF7B4C">
            <w:pPr>
              <w:keepNext/>
              <w:outlineLvl w:val="1"/>
            </w:pPr>
            <w:r>
              <w:t>ISO 6957:</w:t>
            </w:r>
            <w:r w:rsidR="00045FE4">
              <w:t xml:space="preserve"> </w:t>
            </w:r>
            <w:r>
              <w:t>1988</w:t>
            </w:r>
          </w:p>
          <w:p w14:paraId="1760029E" w14:textId="77777777" w:rsidR="00024B3F" w:rsidRPr="00024B3F" w:rsidRDefault="00E910B3" w:rsidP="00CF7B4C">
            <w:pPr>
              <w:keepNext/>
              <w:outlineLvl w:val="1"/>
              <w:rPr>
                <w:iCs/>
              </w:rPr>
            </w:pPr>
            <w:r>
              <w:t>Copper alloys – Ammonia test for stress corrosion resistance</w:t>
            </w:r>
          </w:p>
        </w:tc>
        <w:tc>
          <w:tcPr>
            <w:tcW w:w="3937" w:type="dxa"/>
          </w:tcPr>
          <w:p w14:paraId="5951164D" w14:textId="2317C21C" w:rsidR="00024B3F" w:rsidRPr="00024B3F" w:rsidRDefault="00E910B3" w:rsidP="00CF7B4C">
            <w:pPr>
              <w:jc w:val="both"/>
              <w:rPr>
                <w:iCs/>
              </w:rPr>
            </w:pPr>
            <w:r>
              <w:t>IS 16872: 2019 Copper Alloys — Ammonia Test for Stress Corrosion Resistance</w:t>
            </w:r>
          </w:p>
        </w:tc>
        <w:tc>
          <w:tcPr>
            <w:tcW w:w="2430" w:type="dxa"/>
          </w:tcPr>
          <w:p w14:paraId="16D17CF0" w14:textId="75700E97" w:rsidR="00024B3F" w:rsidRPr="00024B3F" w:rsidRDefault="00E910B3" w:rsidP="00152BD5">
            <w:pPr>
              <w:jc w:val="both"/>
              <w:rPr>
                <w:bCs/>
                <w:iCs/>
              </w:rPr>
            </w:pPr>
            <w:r>
              <w:t>Identical with ISO 6957: 1988</w:t>
            </w:r>
          </w:p>
        </w:tc>
      </w:tr>
    </w:tbl>
    <w:p w14:paraId="65080E23" w14:textId="14C8CF48" w:rsidR="00ED24FE" w:rsidRDefault="00ED24FE" w:rsidP="00ED24FE">
      <w:pPr>
        <w:jc w:val="both"/>
      </w:pPr>
      <w:r w:rsidRPr="00A20CC8">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14:paraId="011344F6" w14:textId="77777777" w:rsidR="00152BD5" w:rsidRDefault="00152BD5" w:rsidP="00ED24FE">
      <w:pPr>
        <w:jc w:val="both"/>
      </w:pPr>
    </w:p>
    <w:p w14:paraId="7237AE57" w14:textId="77777777" w:rsidR="00E615AF" w:rsidRDefault="00E615AF" w:rsidP="00ED24FE">
      <w:pPr>
        <w:jc w:val="both"/>
      </w:pPr>
    </w:p>
    <w:p w14:paraId="5B494897" w14:textId="76C4AD42" w:rsidR="00ED24FE" w:rsidRDefault="00ED24FE" w:rsidP="00ED24FE">
      <w:pPr>
        <w:jc w:val="both"/>
      </w:pPr>
      <w:r w:rsidRPr="00A20CC8">
        <w:t>The technical committee has reviewed the provisions of the following international standards referred in this adopted standard and decided that they are acceptable for use in conjunction with this standard.</w:t>
      </w:r>
    </w:p>
    <w:p w14:paraId="25729DAD" w14:textId="77777777" w:rsidR="000A1166" w:rsidRDefault="000A1166" w:rsidP="00ED24FE">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7290"/>
      </w:tblGrid>
      <w:tr w:rsidR="00ED24FE" w:rsidRPr="00A20CC8" w14:paraId="1C57C4C4" w14:textId="77777777" w:rsidTr="00866B2E">
        <w:trPr>
          <w:trHeight w:val="360"/>
        </w:trPr>
        <w:tc>
          <w:tcPr>
            <w:tcW w:w="2538" w:type="dxa"/>
          </w:tcPr>
          <w:p w14:paraId="3917CC77" w14:textId="77777777" w:rsidR="00ED24FE" w:rsidRPr="00DB131D" w:rsidRDefault="00ED24FE" w:rsidP="00D77DBE">
            <w:pPr>
              <w:jc w:val="center"/>
              <w:rPr>
                <w:i/>
                <w:iCs/>
              </w:rPr>
            </w:pPr>
            <w:r w:rsidRPr="00DB131D">
              <w:rPr>
                <w:i/>
                <w:iCs/>
              </w:rPr>
              <w:t>International Standard</w:t>
            </w:r>
          </w:p>
        </w:tc>
        <w:tc>
          <w:tcPr>
            <w:tcW w:w="7290" w:type="dxa"/>
          </w:tcPr>
          <w:p w14:paraId="610BCA2B" w14:textId="77777777" w:rsidR="00ED24FE" w:rsidRPr="00DB131D" w:rsidRDefault="00ED24FE" w:rsidP="00D77DBE">
            <w:pPr>
              <w:jc w:val="center"/>
              <w:rPr>
                <w:i/>
              </w:rPr>
            </w:pPr>
            <w:r w:rsidRPr="00DB131D">
              <w:rPr>
                <w:i/>
              </w:rPr>
              <w:t>Title</w:t>
            </w:r>
          </w:p>
        </w:tc>
      </w:tr>
      <w:tr w:rsidR="00152BD5" w:rsidRPr="00A20CC8" w14:paraId="655F3DF7" w14:textId="77777777" w:rsidTr="00866B2E">
        <w:trPr>
          <w:trHeight w:val="360"/>
        </w:trPr>
        <w:tc>
          <w:tcPr>
            <w:tcW w:w="2538" w:type="dxa"/>
          </w:tcPr>
          <w:p w14:paraId="6E245151" w14:textId="3FD69726" w:rsidR="00152BD5" w:rsidRPr="00152BD5" w:rsidRDefault="0073141D" w:rsidP="000A3CC7">
            <w:r>
              <w:t>IEC 60068-2-52:</w:t>
            </w:r>
            <w:r w:rsidR="00B65EA6">
              <w:t xml:space="preserve"> </w:t>
            </w:r>
            <w:r>
              <w:t>2017</w:t>
            </w:r>
          </w:p>
        </w:tc>
        <w:tc>
          <w:tcPr>
            <w:tcW w:w="7290" w:type="dxa"/>
          </w:tcPr>
          <w:p w14:paraId="02508086" w14:textId="77777777" w:rsidR="00152BD5" w:rsidRPr="00152BD5" w:rsidRDefault="0073141D" w:rsidP="00152BD5">
            <w:r>
              <w:t>Environmental testing – Part 2-52: Tests – Test Kb: Salt mist, cyclic (sodium chloride solution)</w:t>
            </w:r>
          </w:p>
        </w:tc>
      </w:tr>
      <w:tr w:rsidR="00467C55" w:rsidRPr="00A20CC8" w14:paraId="25F80960" w14:textId="77777777" w:rsidTr="00866B2E">
        <w:trPr>
          <w:trHeight w:val="360"/>
        </w:trPr>
        <w:tc>
          <w:tcPr>
            <w:tcW w:w="2538" w:type="dxa"/>
          </w:tcPr>
          <w:p w14:paraId="7538566F" w14:textId="21315F7F" w:rsidR="00467C55" w:rsidRDefault="00467C55" w:rsidP="000A3CC7">
            <w:r>
              <w:t>IEC 60068-2-75: 2014</w:t>
            </w:r>
          </w:p>
        </w:tc>
        <w:tc>
          <w:tcPr>
            <w:tcW w:w="7290" w:type="dxa"/>
          </w:tcPr>
          <w:p w14:paraId="0D58E28E" w14:textId="760E6F7C" w:rsidR="00467C55" w:rsidRDefault="00467C55" w:rsidP="00152BD5">
            <w:r>
              <w:t>Environmental testing – Part 2-75: Tests – Test Eh: Hammer tests</w:t>
            </w:r>
          </w:p>
        </w:tc>
      </w:tr>
      <w:tr w:rsidR="00024B3F" w:rsidRPr="00A20CC8" w14:paraId="5D48C11A" w14:textId="77777777" w:rsidTr="00866B2E">
        <w:trPr>
          <w:trHeight w:val="360"/>
        </w:trPr>
        <w:tc>
          <w:tcPr>
            <w:tcW w:w="2538" w:type="dxa"/>
          </w:tcPr>
          <w:p w14:paraId="11D909CC" w14:textId="77777777" w:rsidR="00024B3F" w:rsidRPr="00024B3F" w:rsidRDefault="00D34B53" w:rsidP="00096C13">
            <w:r>
              <w:t>IEC 6</w:t>
            </w:r>
            <w:r w:rsidR="00A91F50">
              <w:t>2561-1</w:t>
            </w:r>
          </w:p>
        </w:tc>
        <w:tc>
          <w:tcPr>
            <w:tcW w:w="7290" w:type="dxa"/>
          </w:tcPr>
          <w:p w14:paraId="4E599227" w14:textId="77777777" w:rsidR="00024B3F" w:rsidRPr="00024B3F" w:rsidRDefault="00D34B53" w:rsidP="00152BD5">
            <w:r>
              <w:t>Lightning protection system components (LPSC) – Part 1: Requirements for connection components</w:t>
            </w:r>
          </w:p>
        </w:tc>
      </w:tr>
      <w:tr w:rsidR="00024B3F" w:rsidRPr="00A20CC8" w14:paraId="6965C56D" w14:textId="77777777" w:rsidTr="00866B2E">
        <w:trPr>
          <w:trHeight w:val="360"/>
        </w:trPr>
        <w:tc>
          <w:tcPr>
            <w:tcW w:w="2538" w:type="dxa"/>
          </w:tcPr>
          <w:p w14:paraId="4B24E19B" w14:textId="2D4F35F6" w:rsidR="00024B3F" w:rsidRDefault="00B622E9" w:rsidP="00D01C78">
            <w:r>
              <w:t>ISO 4892-2:</w:t>
            </w:r>
            <w:r w:rsidR="005C6364">
              <w:t xml:space="preserve"> </w:t>
            </w:r>
            <w:r>
              <w:t>2013</w:t>
            </w:r>
          </w:p>
        </w:tc>
        <w:tc>
          <w:tcPr>
            <w:tcW w:w="7290" w:type="dxa"/>
          </w:tcPr>
          <w:p w14:paraId="60EFC502" w14:textId="77777777" w:rsidR="00024B3F" w:rsidRDefault="00B622E9" w:rsidP="00152BD5">
            <w:r>
              <w:t>Plastics – Methods of exposure to laboratory light sources – Part 2: Xenonarc lamps</w:t>
            </w:r>
          </w:p>
        </w:tc>
      </w:tr>
      <w:tr w:rsidR="00E17A05" w:rsidRPr="00A20CC8" w14:paraId="573C0EF2" w14:textId="77777777" w:rsidTr="00866B2E">
        <w:trPr>
          <w:trHeight w:val="360"/>
        </w:trPr>
        <w:tc>
          <w:tcPr>
            <w:tcW w:w="2538" w:type="dxa"/>
          </w:tcPr>
          <w:p w14:paraId="0053CF6D" w14:textId="52D5F176" w:rsidR="00E17A05" w:rsidRDefault="00236014" w:rsidP="005F1E80">
            <w:r>
              <w:t>ISO 4892-3:</w:t>
            </w:r>
            <w:r w:rsidR="005C6364">
              <w:t xml:space="preserve"> </w:t>
            </w:r>
            <w:r>
              <w:t>2016</w:t>
            </w:r>
          </w:p>
        </w:tc>
        <w:tc>
          <w:tcPr>
            <w:tcW w:w="7290" w:type="dxa"/>
          </w:tcPr>
          <w:p w14:paraId="2A49407F" w14:textId="77777777" w:rsidR="00E17A05" w:rsidRDefault="00236014" w:rsidP="00152BD5">
            <w:r>
              <w:t>Plastics – Methods of exposure to laboratory light sources – Part 3: Fluorescent UV lamps</w:t>
            </w:r>
          </w:p>
        </w:tc>
      </w:tr>
      <w:tr w:rsidR="007C074C" w:rsidRPr="00A20CC8" w14:paraId="2D0B0CFD" w14:textId="77777777" w:rsidTr="00866B2E">
        <w:trPr>
          <w:trHeight w:val="360"/>
        </w:trPr>
        <w:tc>
          <w:tcPr>
            <w:tcW w:w="2538" w:type="dxa"/>
          </w:tcPr>
          <w:p w14:paraId="361634BA" w14:textId="749D2690" w:rsidR="007C074C" w:rsidRDefault="007C074C" w:rsidP="005F1E80">
            <w:r>
              <w:t>ISO 4892-4:</w:t>
            </w:r>
            <w:r w:rsidR="005C6364">
              <w:t xml:space="preserve"> </w:t>
            </w:r>
            <w:r>
              <w:t>2013</w:t>
            </w:r>
          </w:p>
        </w:tc>
        <w:tc>
          <w:tcPr>
            <w:tcW w:w="7290" w:type="dxa"/>
          </w:tcPr>
          <w:p w14:paraId="0CF1A31B" w14:textId="77777777" w:rsidR="007C074C" w:rsidRDefault="007C074C" w:rsidP="00152BD5">
            <w:r>
              <w:t>Plastics – Methods of exposure to laboratory light sources – Part 4: Openflame carbon-arc lamps</w:t>
            </w:r>
          </w:p>
        </w:tc>
      </w:tr>
      <w:tr w:rsidR="00E910B3" w:rsidRPr="00A20CC8" w14:paraId="194B0078" w14:textId="77777777" w:rsidTr="00866B2E">
        <w:trPr>
          <w:trHeight w:val="360"/>
        </w:trPr>
        <w:tc>
          <w:tcPr>
            <w:tcW w:w="2538" w:type="dxa"/>
          </w:tcPr>
          <w:p w14:paraId="1BFE1902" w14:textId="4BDD5554" w:rsidR="00E910B3" w:rsidRDefault="00E910B3" w:rsidP="005F1E80">
            <w:r>
              <w:t>ISO 22479:</w:t>
            </w:r>
            <w:r w:rsidR="005C6364">
              <w:t xml:space="preserve"> </w:t>
            </w:r>
            <w:r>
              <w:t>2019</w:t>
            </w:r>
          </w:p>
        </w:tc>
        <w:tc>
          <w:tcPr>
            <w:tcW w:w="7290" w:type="dxa"/>
          </w:tcPr>
          <w:p w14:paraId="7E12260F" w14:textId="051F4A77" w:rsidR="00E910B3" w:rsidRDefault="00E910B3" w:rsidP="00152BD5">
            <w:r>
              <w:t>Corrosion of metals and alloys – Sulphur dioxide test in a humid atmosphere (fixed gas method</w:t>
            </w:r>
            <w:r w:rsidR="005C6364">
              <w:t>)</w:t>
            </w:r>
          </w:p>
        </w:tc>
      </w:tr>
    </w:tbl>
    <w:p w14:paraId="6D5DA82C" w14:textId="77777777" w:rsidR="00ED24FE" w:rsidRDefault="00ED24FE" w:rsidP="00ED24FE">
      <w:pPr>
        <w:jc w:val="both"/>
      </w:pPr>
    </w:p>
    <w:p w14:paraId="3D09A31C" w14:textId="77777777" w:rsidR="005B3A9D" w:rsidRDefault="00C63B6D" w:rsidP="00ED24FE">
      <w:pPr>
        <w:jc w:val="both"/>
      </w:pPr>
      <w:r>
        <w:t>Only the English language text has been retained while adopting it in this Indian Standard, and as such, the page number given here are not the same as in the IEC Publication.</w:t>
      </w:r>
    </w:p>
    <w:p w14:paraId="23AA8919" w14:textId="77777777" w:rsidR="004C2F6B" w:rsidRDefault="004C2F6B" w:rsidP="00ED24FE">
      <w:pPr>
        <w:jc w:val="both"/>
      </w:pPr>
    </w:p>
    <w:p w14:paraId="47B94287" w14:textId="5DE4131C" w:rsidR="004C2F6B" w:rsidRPr="00F2068F" w:rsidRDefault="004C2F6B" w:rsidP="004C2F6B">
      <w:pPr>
        <w:pStyle w:val="BodyText"/>
        <w:spacing w:before="6"/>
      </w:pPr>
      <w:r w:rsidRPr="00F2068F">
        <w:t>India specific changes have been made to the adopted IEC 6</w:t>
      </w:r>
      <w:r>
        <w:t>2561</w:t>
      </w:r>
      <w:r w:rsidRPr="00F2068F">
        <w:t>-</w:t>
      </w:r>
      <w:r>
        <w:t>3</w:t>
      </w:r>
      <w:r w:rsidRPr="00F2068F">
        <w:t xml:space="preserve"> as outlined in National Annex A.</w:t>
      </w:r>
    </w:p>
    <w:p w14:paraId="05451EBF" w14:textId="77777777" w:rsidR="004C2F6B" w:rsidRDefault="004C2F6B" w:rsidP="00ED24FE">
      <w:pPr>
        <w:jc w:val="both"/>
      </w:pPr>
    </w:p>
    <w:p w14:paraId="35C33E37" w14:textId="77777777" w:rsidR="00C63B6D" w:rsidRDefault="00C63B6D" w:rsidP="00ED24FE">
      <w:pPr>
        <w:jc w:val="both"/>
      </w:pPr>
    </w:p>
    <w:p w14:paraId="1E36A40A" w14:textId="77777777" w:rsidR="00ED24FE" w:rsidRDefault="00ED24FE" w:rsidP="00ED24FE">
      <w:pPr>
        <w:jc w:val="both"/>
      </w:pPr>
      <w:r w:rsidRPr="00A20CC8">
        <w:t>For the purpose of deciding whether a particular requirement of this standard is complied with, the final value, observed or calculated expressing the result of a test, shall be roun</w:t>
      </w:r>
      <w:r w:rsidR="00C92D40">
        <w:t>ded off in accordance with IS 2</w:t>
      </w:r>
      <w:r w:rsidRPr="00A20CC8">
        <w:t xml:space="preserve">: </w:t>
      </w:r>
      <w:r w:rsidR="00B122FE">
        <w:t>2022</w:t>
      </w:r>
      <w:r w:rsidRPr="00A20CC8">
        <w:t xml:space="preserve"> ‘Rules for rounding off numerical values (</w:t>
      </w:r>
      <w:r w:rsidR="00887DC5" w:rsidRPr="00B122FE">
        <w:rPr>
          <w:i/>
        </w:rPr>
        <w:t>second revision</w:t>
      </w:r>
      <w:r w:rsidRPr="00A20CC8">
        <w:t>)’. The number of significant places retained in the rounded off value should be the same as that of the specified value in this standard.</w:t>
      </w:r>
    </w:p>
    <w:p w14:paraId="6B79F43B" w14:textId="77777777" w:rsidR="004C2F6B" w:rsidRDefault="004C2F6B" w:rsidP="00ED24FE">
      <w:pPr>
        <w:jc w:val="both"/>
      </w:pPr>
    </w:p>
    <w:p w14:paraId="276FF323" w14:textId="77777777" w:rsidR="004C2F6B" w:rsidRDefault="004C2F6B" w:rsidP="00ED24FE">
      <w:pPr>
        <w:jc w:val="both"/>
      </w:pPr>
    </w:p>
    <w:p w14:paraId="4EFD39F4" w14:textId="1E0C67CE" w:rsidR="004C2F6B" w:rsidRDefault="004C2F6B" w:rsidP="00ED24FE">
      <w:pPr>
        <w:jc w:val="both"/>
      </w:pPr>
    </w:p>
    <w:p w14:paraId="5CF712BD" w14:textId="77777777" w:rsidR="009A47D3" w:rsidRDefault="009A47D3" w:rsidP="00ED24FE">
      <w:pPr>
        <w:jc w:val="both"/>
      </w:pPr>
    </w:p>
    <w:p w14:paraId="5C962F62" w14:textId="77777777" w:rsidR="004C2F6B" w:rsidRPr="00F2068F" w:rsidRDefault="004C2F6B" w:rsidP="004C2F6B">
      <w:pPr>
        <w:pStyle w:val="BodyText"/>
        <w:spacing w:before="5"/>
        <w:jc w:val="center"/>
        <w:rPr>
          <w:b/>
          <w:bCs/>
        </w:rPr>
      </w:pPr>
      <w:r w:rsidRPr="00F2068F">
        <w:rPr>
          <w:b/>
          <w:bCs/>
        </w:rPr>
        <w:lastRenderedPageBreak/>
        <w:t>NATIONAL ANNEX A</w:t>
      </w:r>
    </w:p>
    <w:p w14:paraId="08A4A9B5" w14:textId="77777777" w:rsidR="004C2F6B" w:rsidRPr="00F2068F" w:rsidRDefault="004C2F6B" w:rsidP="004C2F6B">
      <w:pPr>
        <w:pStyle w:val="BodyText"/>
        <w:spacing w:before="5"/>
        <w:jc w:val="center"/>
      </w:pPr>
      <w:r w:rsidRPr="00F2068F">
        <w:t>(</w:t>
      </w:r>
      <w:r w:rsidRPr="00CB1232">
        <w:rPr>
          <w:i/>
          <w:iCs/>
        </w:rPr>
        <w:t>National Foreword</w:t>
      </w:r>
      <w:r w:rsidRPr="00F2068F">
        <w:t>)</w:t>
      </w:r>
    </w:p>
    <w:p w14:paraId="300F35D5" w14:textId="77777777" w:rsidR="004C2F6B" w:rsidRPr="00F2068F" w:rsidRDefault="004C2F6B" w:rsidP="004C2F6B">
      <w:pPr>
        <w:pStyle w:val="BodyText"/>
        <w:spacing w:before="5"/>
        <w:jc w:val="center"/>
      </w:pPr>
    </w:p>
    <w:p w14:paraId="5291053E" w14:textId="77777777" w:rsidR="004C2F6B" w:rsidRDefault="004C2F6B" w:rsidP="004C2F6B">
      <w:pPr>
        <w:pStyle w:val="BodyText"/>
        <w:spacing w:before="5"/>
        <w:jc w:val="both"/>
        <w:rPr>
          <w:b/>
          <w:bCs/>
        </w:rPr>
      </w:pPr>
      <w:r w:rsidRPr="00F2068F">
        <w:rPr>
          <w:b/>
          <w:bCs/>
        </w:rPr>
        <w:t>A-1 BIS CERTIFICATION MARKING</w:t>
      </w:r>
    </w:p>
    <w:p w14:paraId="208305B3" w14:textId="77777777" w:rsidR="004C2F6B" w:rsidRPr="00F2068F" w:rsidRDefault="004C2F6B" w:rsidP="004C2F6B">
      <w:pPr>
        <w:pStyle w:val="BodyText"/>
        <w:spacing w:before="5"/>
        <w:jc w:val="both"/>
        <w:rPr>
          <w:b/>
          <w:bCs/>
        </w:rPr>
      </w:pPr>
    </w:p>
    <w:p w14:paraId="5D7E6643" w14:textId="77777777" w:rsidR="004C2F6B" w:rsidRPr="00F2068F" w:rsidRDefault="004C2F6B" w:rsidP="004C2F6B">
      <w:pPr>
        <w:pStyle w:val="BodyText"/>
        <w:spacing w:before="5"/>
        <w:jc w:val="both"/>
      </w:pPr>
      <w:r w:rsidRPr="00F2068F">
        <w:t>The product(s) conforming to the requirements of this standard may be certified as per the</w:t>
      </w:r>
    </w:p>
    <w:p w14:paraId="5526080F" w14:textId="77777777" w:rsidR="004C2F6B" w:rsidRPr="00F2068F" w:rsidRDefault="004C2F6B" w:rsidP="004C2F6B">
      <w:pPr>
        <w:pStyle w:val="BodyText"/>
        <w:spacing w:before="5"/>
        <w:jc w:val="both"/>
      </w:pPr>
      <w:r w:rsidRPr="00F2068F">
        <w:t>conformity assessment schemes under the provisions of the Bureau of Indian Standards Act,</w:t>
      </w:r>
    </w:p>
    <w:p w14:paraId="2F0FFA9F" w14:textId="77777777" w:rsidR="004C2F6B" w:rsidRPr="00F2068F" w:rsidRDefault="004C2F6B" w:rsidP="004C2F6B">
      <w:pPr>
        <w:pStyle w:val="BodyText"/>
        <w:spacing w:before="5"/>
        <w:jc w:val="both"/>
      </w:pPr>
      <w:r w:rsidRPr="00F2068F">
        <w:t>2016 and the Rules and Regulations framed thereunder, and the product(s) may be marked with the Standard Mark.</w:t>
      </w:r>
    </w:p>
    <w:p w14:paraId="130E7111" w14:textId="77777777" w:rsidR="004C2F6B" w:rsidRPr="00F2068F" w:rsidRDefault="004C2F6B" w:rsidP="004C2F6B">
      <w:pPr>
        <w:pStyle w:val="BodyText"/>
        <w:spacing w:before="5"/>
        <w:jc w:val="both"/>
      </w:pPr>
    </w:p>
    <w:p w14:paraId="504E0803" w14:textId="77777777" w:rsidR="004C2F6B" w:rsidRDefault="004C2F6B" w:rsidP="00ED24FE">
      <w:pPr>
        <w:jc w:val="both"/>
      </w:pPr>
    </w:p>
    <w:sectPr w:rsidR="004C2F6B" w:rsidSect="004856CB">
      <w:pgSz w:w="12240" w:h="15840"/>
      <w:pgMar w:top="990" w:right="1080" w:bottom="1418"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396E7" w14:textId="77777777" w:rsidR="000040E2" w:rsidRDefault="000040E2" w:rsidP="0015523E">
      <w:r>
        <w:separator/>
      </w:r>
    </w:p>
  </w:endnote>
  <w:endnote w:type="continuationSeparator" w:id="0">
    <w:p w14:paraId="3CFE30CA" w14:textId="77777777" w:rsidR="000040E2" w:rsidRDefault="000040E2" w:rsidP="001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6384" w14:textId="77777777" w:rsidR="000040E2" w:rsidRDefault="000040E2" w:rsidP="0015523E">
      <w:r>
        <w:separator/>
      </w:r>
    </w:p>
  </w:footnote>
  <w:footnote w:type="continuationSeparator" w:id="0">
    <w:p w14:paraId="4AD71C54" w14:textId="77777777" w:rsidR="000040E2" w:rsidRDefault="000040E2" w:rsidP="001552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43"/>
    <w:rsid w:val="000040E2"/>
    <w:rsid w:val="0001564E"/>
    <w:rsid w:val="00023B33"/>
    <w:rsid w:val="00024B3F"/>
    <w:rsid w:val="000266DE"/>
    <w:rsid w:val="000274DB"/>
    <w:rsid w:val="000429C0"/>
    <w:rsid w:val="00045FE4"/>
    <w:rsid w:val="0005177D"/>
    <w:rsid w:val="00063E97"/>
    <w:rsid w:val="00070F39"/>
    <w:rsid w:val="00087973"/>
    <w:rsid w:val="00096C13"/>
    <w:rsid w:val="000A1166"/>
    <w:rsid w:val="000A3CC7"/>
    <w:rsid w:val="000A4B0E"/>
    <w:rsid w:val="000C0773"/>
    <w:rsid w:val="000C47A7"/>
    <w:rsid w:val="000E1868"/>
    <w:rsid w:val="000F6AEB"/>
    <w:rsid w:val="00100B2C"/>
    <w:rsid w:val="00102E12"/>
    <w:rsid w:val="00116696"/>
    <w:rsid w:val="00127C3C"/>
    <w:rsid w:val="00134E4C"/>
    <w:rsid w:val="00144213"/>
    <w:rsid w:val="00152BD5"/>
    <w:rsid w:val="0015523E"/>
    <w:rsid w:val="00171E0A"/>
    <w:rsid w:val="001A0A57"/>
    <w:rsid w:val="001B01FA"/>
    <w:rsid w:val="001D57D0"/>
    <w:rsid w:val="001E2D51"/>
    <w:rsid w:val="00223853"/>
    <w:rsid w:val="00236014"/>
    <w:rsid w:val="00243FED"/>
    <w:rsid w:val="0026054E"/>
    <w:rsid w:val="0027661C"/>
    <w:rsid w:val="00291338"/>
    <w:rsid w:val="00295173"/>
    <w:rsid w:val="002A33A0"/>
    <w:rsid w:val="002C5915"/>
    <w:rsid w:val="002E3BB1"/>
    <w:rsid w:val="002F3C86"/>
    <w:rsid w:val="002F7B87"/>
    <w:rsid w:val="00306D4B"/>
    <w:rsid w:val="00322ACD"/>
    <w:rsid w:val="00334B51"/>
    <w:rsid w:val="003708B6"/>
    <w:rsid w:val="003708C3"/>
    <w:rsid w:val="003754B0"/>
    <w:rsid w:val="00385AE4"/>
    <w:rsid w:val="003A0872"/>
    <w:rsid w:val="003A4C92"/>
    <w:rsid w:val="003A7F09"/>
    <w:rsid w:val="003B124E"/>
    <w:rsid w:val="003B2077"/>
    <w:rsid w:val="00414373"/>
    <w:rsid w:val="00451157"/>
    <w:rsid w:val="00460247"/>
    <w:rsid w:val="00467C55"/>
    <w:rsid w:val="004856CB"/>
    <w:rsid w:val="004B43D6"/>
    <w:rsid w:val="004C022D"/>
    <w:rsid w:val="004C2F6B"/>
    <w:rsid w:val="004D7E1C"/>
    <w:rsid w:val="004F3AA9"/>
    <w:rsid w:val="005055F9"/>
    <w:rsid w:val="00507766"/>
    <w:rsid w:val="00513592"/>
    <w:rsid w:val="00557BCA"/>
    <w:rsid w:val="00585491"/>
    <w:rsid w:val="00586D27"/>
    <w:rsid w:val="00587804"/>
    <w:rsid w:val="005A5F36"/>
    <w:rsid w:val="005B3A9D"/>
    <w:rsid w:val="005C6364"/>
    <w:rsid w:val="005C7839"/>
    <w:rsid w:val="005D3164"/>
    <w:rsid w:val="005D3C25"/>
    <w:rsid w:val="005F1E80"/>
    <w:rsid w:val="00612ADE"/>
    <w:rsid w:val="006445A5"/>
    <w:rsid w:val="006508FC"/>
    <w:rsid w:val="006570C9"/>
    <w:rsid w:val="0066050D"/>
    <w:rsid w:val="00674AFB"/>
    <w:rsid w:val="006A7D44"/>
    <w:rsid w:val="006B3ADE"/>
    <w:rsid w:val="006B5135"/>
    <w:rsid w:val="006B55E3"/>
    <w:rsid w:val="006C4FD5"/>
    <w:rsid w:val="00706A63"/>
    <w:rsid w:val="00706B3B"/>
    <w:rsid w:val="00713F18"/>
    <w:rsid w:val="0073141D"/>
    <w:rsid w:val="00732EB1"/>
    <w:rsid w:val="00756124"/>
    <w:rsid w:val="00763920"/>
    <w:rsid w:val="00786809"/>
    <w:rsid w:val="00791516"/>
    <w:rsid w:val="0079265C"/>
    <w:rsid w:val="007A26AB"/>
    <w:rsid w:val="007A5726"/>
    <w:rsid w:val="007B2339"/>
    <w:rsid w:val="007C074C"/>
    <w:rsid w:val="007C5A76"/>
    <w:rsid w:val="007F6E50"/>
    <w:rsid w:val="00811527"/>
    <w:rsid w:val="0082068A"/>
    <w:rsid w:val="008321A1"/>
    <w:rsid w:val="00843D11"/>
    <w:rsid w:val="00850AF6"/>
    <w:rsid w:val="00866B2E"/>
    <w:rsid w:val="0087578E"/>
    <w:rsid w:val="00887DC5"/>
    <w:rsid w:val="008A4FB0"/>
    <w:rsid w:val="008B5AEA"/>
    <w:rsid w:val="008B6C08"/>
    <w:rsid w:val="008B6F53"/>
    <w:rsid w:val="00907B5A"/>
    <w:rsid w:val="00926233"/>
    <w:rsid w:val="0095035F"/>
    <w:rsid w:val="009612C0"/>
    <w:rsid w:val="00963EEB"/>
    <w:rsid w:val="009803C6"/>
    <w:rsid w:val="00990A9B"/>
    <w:rsid w:val="009A47D3"/>
    <w:rsid w:val="009B449E"/>
    <w:rsid w:val="009C4C66"/>
    <w:rsid w:val="009E3E61"/>
    <w:rsid w:val="009E6361"/>
    <w:rsid w:val="009E7357"/>
    <w:rsid w:val="009F2235"/>
    <w:rsid w:val="009F54AB"/>
    <w:rsid w:val="00A01FD8"/>
    <w:rsid w:val="00A05BFB"/>
    <w:rsid w:val="00A3167D"/>
    <w:rsid w:val="00A32F9B"/>
    <w:rsid w:val="00A41B90"/>
    <w:rsid w:val="00A57743"/>
    <w:rsid w:val="00A6183D"/>
    <w:rsid w:val="00A90618"/>
    <w:rsid w:val="00A91F50"/>
    <w:rsid w:val="00AA6D2C"/>
    <w:rsid w:val="00AA772F"/>
    <w:rsid w:val="00AB2524"/>
    <w:rsid w:val="00AD182B"/>
    <w:rsid w:val="00AD52CC"/>
    <w:rsid w:val="00AD5D5A"/>
    <w:rsid w:val="00AF13E1"/>
    <w:rsid w:val="00AF260D"/>
    <w:rsid w:val="00B016CF"/>
    <w:rsid w:val="00B122FE"/>
    <w:rsid w:val="00B24B84"/>
    <w:rsid w:val="00B32124"/>
    <w:rsid w:val="00B574B5"/>
    <w:rsid w:val="00B622E9"/>
    <w:rsid w:val="00B65EA6"/>
    <w:rsid w:val="00B82037"/>
    <w:rsid w:val="00B878B2"/>
    <w:rsid w:val="00BA381F"/>
    <w:rsid w:val="00BB088E"/>
    <w:rsid w:val="00BB6C1D"/>
    <w:rsid w:val="00BD1573"/>
    <w:rsid w:val="00C04B6B"/>
    <w:rsid w:val="00C10AAF"/>
    <w:rsid w:val="00C166C0"/>
    <w:rsid w:val="00C20D9B"/>
    <w:rsid w:val="00C25113"/>
    <w:rsid w:val="00C338C7"/>
    <w:rsid w:val="00C34B75"/>
    <w:rsid w:val="00C541AD"/>
    <w:rsid w:val="00C55F00"/>
    <w:rsid w:val="00C63B6D"/>
    <w:rsid w:val="00C67906"/>
    <w:rsid w:val="00C73362"/>
    <w:rsid w:val="00C7608B"/>
    <w:rsid w:val="00C86120"/>
    <w:rsid w:val="00C92D40"/>
    <w:rsid w:val="00C97310"/>
    <w:rsid w:val="00CA111E"/>
    <w:rsid w:val="00CA6B25"/>
    <w:rsid w:val="00CA729F"/>
    <w:rsid w:val="00CB7B1E"/>
    <w:rsid w:val="00CC2E3B"/>
    <w:rsid w:val="00CC4D6C"/>
    <w:rsid w:val="00CF6E8F"/>
    <w:rsid w:val="00CF7B4C"/>
    <w:rsid w:val="00D01C78"/>
    <w:rsid w:val="00D03899"/>
    <w:rsid w:val="00D17F83"/>
    <w:rsid w:val="00D34B53"/>
    <w:rsid w:val="00D40FFD"/>
    <w:rsid w:val="00D64C3A"/>
    <w:rsid w:val="00D70EE8"/>
    <w:rsid w:val="00DA4F90"/>
    <w:rsid w:val="00DB131D"/>
    <w:rsid w:val="00DE442C"/>
    <w:rsid w:val="00DF49FD"/>
    <w:rsid w:val="00E1280B"/>
    <w:rsid w:val="00E14C46"/>
    <w:rsid w:val="00E17A05"/>
    <w:rsid w:val="00E33705"/>
    <w:rsid w:val="00E47658"/>
    <w:rsid w:val="00E5553B"/>
    <w:rsid w:val="00E615AF"/>
    <w:rsid w:val="00E72487"/>
    <w:rsid w:val="00E8417F"/>
    <w:rsid w:val="00E8747A"/>
    <w:rsid w:val="00E87BC7"/>
    <w:rsid w:val="00E910B3"/>
    <w:rsid w:val="00E9729E"/>
    <w:rsid w:val="00EA10D0"/>
    <w:rsid w:val="00EC43B8"/>
    <w:rsid w:val="00ED24FE"/>
    <w:rsid w:val="00EE2505"/>
    <w:rsid w:val="00EE3A4A"/>
    <w:rsid w:val="00EE5271"/>
    <w:rsid w:val="00EF3794"/>
    <w:rsid w:val="00F0276C"/>
    <w:rsid w:val="00F22A55"/>
    <w:rsid w:val="00F27B18"/>
    <w:rsid w:val="00F40429"/>
    <w:rsid w:val="00F446FF"/>
    <w:rsid w:val="00F66D95"/>
    <w:rsid w:val="00F704B4"/>
    <w:rsid w:val="00F83C38"/>
    <w:rsid w:val="00F90A4D"/>
    <w:rsid w:val="00F92488"/>
    <w:rsid w:val="00FB7850"/>
    <w:rsid w:val="00FC2ADA"/>
    <w:rsid w:val="00FD3FED"/>
    <w:rsid w:val="00FF3CD5"/>
    <w:rsid w:val="00FF47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DD88"/>
  <w15:chartTrackingRefBased/>
  <w15:docId w15:val="{42722097-94F1-4F06-96D8-E95274A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F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ED24FE"/>
    <w:pPr>
      <w:autoSpaceDE w:val="0"/>
      <w:autoSpaceDN w:val="0"/>
      <w:adjustRightInd w:val="0"/>
      <w:spacing w:line="361" w:lineRule="atLeast"/>
    </w:pPr>
    <w:rPr>
      <w:rFonts w:ascii="Cambria" w:hAnsi="Cambria"/>
    </w:rPr>
  </w:style>
  <w:style w:type="paragraph" w:styleId="Header">
    <w:name w:val="header"/>
    <w:basedOn w:val="Normal"/>
    <w:link w:val="HeaderChar"/>
    <w:uiPriority w:val="99"/>
    <w:unhideWhenUsed/>
    <w:rsid w:val="0015523E"/>
    <w:pPr>
      <w:tabs>
        <w:tab w:val="center" w:pos="4680"/>
        <w:tab w:val="right" w:pos="9360"/>
      </w:tabs>
    </w:pPr>
  </w:style>
  <w:style w:type="character" w:customStyle="1" w:styleId="HeaderChar">
    <w:name w:val="Header Char"/>
    <w:basedOn w:val="DefaultParagraphFont"/>
    <w:link w:val="Header"/>
    <w:uiPriority w:val="99"/>
    <w:rsid w:val="001552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523E"/>
    <w:pPr>
      <w:tabs>
        <w:tab w:val="center" w:pos="4680"/>
        <w:tab w:val="right" w:pos="9360"/>
      </w:tabs>
    </w:pPr>
  </w:style>
  <w:style w:type="character" w:customStyle="1" w:styleId="FooterChar">
    <w:name w:val="Footer Char"/>
    <w:basedOn w:val="DefaultParagraphFont"/>
    <w:link w:val="Footer"/>
    <w:uiPriority w:val="99"/>
    <w:rsid w:val="0015523E"/>
    <w:rPr>
      <w:rFonts w:ascii="Times New Roman" w:eastAsia="Times New Roman" w:hAnsi="Times New Roman" w:cs="Times New Roman"/>
      <w:sz w:val="24"/>
      <w:szCs w:val="24"/>
      <w:lang w:val="en-US"/>
    </w:rPr>
  </w:style>
  <w:style w:type="paragraph" w:customStyle="1" w:styleId="Default">
    <w:name w:val="Default"/>
    <w:rsid w:val="00AB2524"/>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styleId="BalloonText">
    <w:name w:val="Balloon Text"/>
    <w:basedOn w:val="Normal"/>
    <w:link w:val="BalloonTextChar"/>
    <w:uiPriority w:val="99"/>
    <w:semiHidden/>
    <w:unhideWhenUsed/>
    <w:rsid w:val="003A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09"/>
    <w:rPr>
      <w:rFonts w:ascii="Segoe UI" w:eastAsia="Times New Roman" w:hAnsi="Segoe UI" w:cs="Segoe UI"/>
      <w:sz w:val="18"/>
      <w:szCs w:val="18"/>
      <w:lang w:val="en-US"/>
    </w:rPr>
  </w:style>
  <w:style w:type="paragraph" w:styleId="BodyText">
    <w:name w:val="Body Text"/>
    <w:basedOn w:val="Normal"/>
    <w:link w:val="BodyTextChar"/>
    <w:uiPriority w:val="1"/>
    <w:qFormat/>
    <w:rsid w:val="004C2F6B"/>
    <w:pPr>
      <w:widowControl w:val="0"/>
      <w:autoSpaceDE w:val="0"/>
      <w:autoSpaceDN w:val="0"/>
    </w:pPr>
  </w:style>
  <w:style w:type="character" w:customStyle="1" w:styleId="BodyTextChar">
    <w:name w:val="Body Text Char"/>
    <w:basedOn w:val="DefaultParagraphFont"/>
    <w:link w:val="BodyText"/>
    <w:uiPriority w:val="1"/>
    <w:rsid w:val="004C2F6B"/>
    <w:rPr>
      <w:rFonts w:ascii="Times New Roman" w:eastAsia="Times New Roman" w:hAnsi="Times New Roman" w:cs="Times New Roman"/>
      <w:sz w:val="24"/>
      <w:szCs w:val="24"/>
      <w:lang w:val="en-US"/>
    </w:rPr>
  </w:style>
  <w:style w:type="table" w:styleId="TableGrid">
    <w:name w:val="Table Grid"/>
    <w:basedOn w:val="TableNormal"/>
    <w:uiPriority w:val="39"/>
    <w:rsid w:val="003B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HCL</cp:lastModifiedBy>
  <cp:revision>40</cp:revision>
  <cp:lastPrinted>2022-12-02T05:50:00Z</cp:lastPrinted>
  <dcterms:created xsi:type="dcterms:W3CDTF">2023-09-26T08:53:00Z</dcterms:created>
  <dcterms:modified xsi:type="dcterms:W3CDTF">2024-09-13T06:15:00Z</dcterms:modified>
</cp:coreProperties>
</file>