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066" w:rsidRDefault="00A64B1E" w:rsidP="00B953E4">
      <w:pPr>
        <w:pStyle w:val="BodyText"/>
        <w:ind w:left="2880"/>
        <w:jc w:val="right"/>
        <w:rPr>
          <w:rFonts w:ascii="Arial" w:hAnsi="Arial" w:cs="Arial"/>
          <w:b/>
          <w:bCs/>
        </w:rPr>
      </w:pPr>
      <w:r>
        <w:rPr>
          <w:rFonts w:ascii="Arial" w:hAnsi="Arial" w:cs="Arial"/>
          <w:b/>
          <w:bCs/>
        </w:rPr>
        <w:pict>
          <v:rect id="Rectangle 13" o:spid="_x0000_s1026" style="position:absolute;left:0;text-align:left;margin-left:140.75pt;margin-top:-6.75pt;width:136.75pt;height:51.75pt;z-index:25160960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" fillcolor="white [3201]" strokecolor="white [3212]" strokeweight="2pt">
            <v:path arrowok="t"/>
            <v:textbox style="mso-next-textbox:#Rectangle 13">
              <w:txbxContent>
                <w:p w:rsidR="001F7066" w:rsidRPr="00E73D3B" w:rsidRDefault="001F7066" w:rsidP="001F7066">
                  <w:pPr>
                    <w:rPr>
                      <w:rFonts w:ascii="Kokila" w:hAnsi="Kokila" w:cs="Kokila"/>
                      <w:b/>
                      <w:bCs/>
                      <w:i/>
                      <w:iCs/>
                      <w:sz w:val="44"/>
                      <w:szCs w:val="44"/>
                    </w:rPr>
                  </w:pPr>
                  <w:r w:rsidRPr="00FD4B32">
                    <w:rPr>
                      <w:rFonts w:ascii="Kokila" w:hAnsi="Kokila" w:cs="Kokila"/>
                      <w:b/>
                      <w:bCs/>
                      <w:i/>
                      <w:iCs/>
                      <w:sz w:val="44"/>
                      <w:szCs w:val="44"/>
                      <w:cs/>
                      <w:lang w:bidi="hi-IN"/>
                    </w:rPr>
                    <w:t xml:space="preserve">भारतीय मानक </w:t>
                  </w:r>
                  <w:r w:rsidRPr="00FD4B32">
                    <w:rPr>
                      <w:rFonts w:ascii="Arial" w:hAnsi="Arial" w:cs="Arial"/>
                      <w:b/>
                      <w:bCs/>
                      <w:i/>
                      <w:iCs/>
                      <w:sz w:val="28"/>
                      <w:szCs w:val="28"/>
                    </w:rPr>
                    <w:t>Indian Standards</w:t>
                  </w:r>
                </w:p>
              </w:txbxContent>
            </v:textbox>
            <w10:wrap anchorx="margin"/>
          </v:rect>
        </w:pict>
      </w:r>
      <w:r w:rsidR="00A36C45" w:rsidRPr="00A36C45">
        <w:rPr>
          <w:rFonts w:ascii="Arial" w:hAnsi="Arial" w:cs="Arial"/>
          <w:b/>
          <w:bCs/>
        </w:rPr>
        <w:t>IS</w:t>
      </w:r>
      <w:r w:rsidR="002656C8">
        <w:rPr>
          <w:rFonts w:ascii="Arial" w:hAnsi="Arial" w:cs="Arial"/>
          <w:b/>
          <w:bCs/>
        </w:rPr>
        <w:t>/</w:t>
      </w:r>
      <w:r w:rsidR="002656C8" w:rsidRPr="00B953E4">
        <w:rPr>
          <w:rFonts w:ascii="Arial" w:hAnsi="Arial" w:cs="Arial"/>
          <w:b/>
          <w:bCs/>
        </w:rPr>
        <w:t>IEC 60034-18-4</w:t>
      </w:r>
      <w:r w:rsidR="002E5631">
        <w:rPr>
          <w:rFonts w:ascii="Arial" w:hAnsi="Arial" w:cs="Arial"/>
          <w:b/>
          <w:bCs/>
        </w:rPr>
        <w:t>1</w:t>
      </w:r>
      <w:r w:rsidR="002656C8" w:rsidRPr="00B953E4">
        <w:rPr>
          <w:rFonts w:ascii="Arial" w:hAnsi="Arial" w:cs="Arial"/>
          <w:b/>
          <w:bCs/>
        </w:rPr>
        <w:t>:</w:t>
      </w:r>
      <w:r w:rsidR="006521CF">
        <w:rPr>
          <w:rFonts w:ascii="Arial" w:hAnsi="Arial" w:cs="Arial"/>
          <w:b/>
          <w:bCs/>
        </w:rPr>
        <w:t xml:space="preserve"> </w:t>
      </w:r>
      <w:r w:rsidR="002656C8" w:rsidRPr="00B953E4">
        <w:rPr>
          <w:rFonts w:ascii="Arial" w:hAnsi="Arial" w:cs="Arial"/>
          <w:b/>
          <w:bCs/>
        </w:rPr>
        <w:t>201</w:t>
      </w:r>
      <w:r w:rsidR="00B81B0D">
        <w:rPr>
          <w:rFonts w:ascii="Arial" w:hAnsi="Arial" w:cs="Arial"/>
          <w:b/>
          <w:bCs/>
        </w:rPr>
        <w:t>4</w:t>
      </w:r>
    </w:p>
    <w:p w:rsidR="0029262E" w:rsidRDefault="00252ADA" w:rsidP="00252ADA">
      <w:pPr>
        <w:adjustRightInd w:val="0"/>
        <w:ind w:left="2434"/>
        <w:jc w:val="right"/>
        <w:rPr>
          <w:rFonts w:ascii="Arial" w:hAnsi="Arial" w:cs="Arial"/>
          <w:i/>
          <w:iCs/>
          <w:sz w:val="24"/>
          <w:szCs w:val="24"/>
        </w:rPr>
      </w:pPr>
      <w:r w:rsidRPr="0029262E">
        <w:rPr>
          <w:rFonts w:ascii="Arial" w:hAnsi="Arial" w:cs="Arial"/>
          <w:i/>
          <w:iCs/>
          <w:sz w:val="24"/>
          <w:szCs w:val="24"/>
        </w:rPr>
        <w:t>Superseding IS 15999</w:t>
      </w:r>
    </w:p>
    <w:p w:rsidR="00252ADA" w:rsidRPr="0029262E" w:rsidRDefault="00252ADA" w:rsidP="00252ADA">
      <w:pPr>
        <w:adjustRightInd w:val="0"/>
        <w:ind w:left="2434"/>
        <w:jc w:val="right"/>
        <w:rPr>
          <w:rFonts w:ascii="Arial" w:hAnsi="Arial" w:cs="Arial"/>
          <w:i/>
          <w:iCs/>
          <w:sz w:val="24"/>
          <w:szCs w:val="24"/>
        </w:rPr>
      </w:pPr>
      <w:r w:rsidRPr="0029262E">
        <w:rPr>
          <w:rFonts w:ascii="Arial" w:hAnsi="Arial" w:cs="Arial"/>
          <w:i/>
          <w:iCs/>
          <w:sz w:val="24"/>
          <w:szCs w:val="24"/>
        </w:rPr>
        <w:t xml:space="preserve"> (Part 18/Sec 4</w:t>
      </w:r>
      <w:r w:rsidR="007534BB">
        <w:rPr>
          <w:rFonts w:ascii="Arial" w:hAnsi="Arial" w:cs="Arial"/>
          <w:i/>
          <w:iCs/>
          <w:sz w:val="24"/>
          <w:szCs w:val="24"/>
        </w:rPr>
        <w:t>1</w:t>
      </w:r>
      <w:r w:rsidRPr="0029262E">
        <w:rPr>
          <w:rFonts w:ascii="Arial" w:hAnsi="Arial" w:cs="Arial"/>
          <w:i/>
          <w:iCs/>
          <w:sz w:val="24"/>
          <w:szCs w:val="24"/>
        </w:rPr>
        <w:t>): 2018</w:t>
      </w:r>
    </w:p>
    <w:p w:rsidR="001F7066" w:rsidRPr="008D0FBB" w:rsidRDefault="00A64B1E" w:rsidP="001A0DAC">
      <w:pPr>
        <w:pStyle w:val="BodyText"/>
        <w:ind w:left="2430" w:firstLine="180"/>
        <w:jc w:val="center"/>
        <w:rPr>
          <w:rFonts w:ascii="Arial" w:hAnsi="Arial" w:cs="Arial"/>
          <w:b/>
          <w:sz w:val="36"/>
          <w:szCs w:val="32"/>
        </w:rPr>
      </w:pPr>
      <w:r w:rsidRPr="00A64B1E">
        <w:rPr>
          <w:rFonts w:ascii="Arial" w:hAnsi="Arial" w:cs="Arial"/>
          <w:noProof/>
        </w:rPr>
      </w:r>
      <w:r w:rsidRPr="00A64B1E">
        <w:rPr>
          <w:rFonts w:ascii="Arial" w:hAnsi="Arial" w:cs="Arial"/>
          <w:noProof/>
        </w:rPr>
        <w:pict>
          <v:group id="Group 14" o:spid="_x0000_s1043" style="width:363.8pt;height:3.85pt;flip:y;mso-position-horizontal-relative:char;mso-position-vertical-relative:line" coordsize="6347,100">
            <v:line id="Line 9" o:spid="_x0000_s1027" style="position:absolute;visibility:visibl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5x6MUAAADbAAAADwAAAGRycy9kb3ducmV2LnhtbESPQWvCQBCF70L/wzJCL0U3VRskdZXS&#10;0qpHU5Eeh+yYBLOz6e7WxH/vCgVvM7w373uzWPWmEWdyvras4HmcgCAurK65VLD//hzNQfiArLGx&#10;TAou5GG1fBgsMNO24x2d81CKGMI+QwVVCG0mpS8qMujHtiWO2tE6gyGurpTaYRfDTSMnSZJKgzVH&#10;QoUtvVdUnPI/EyHuN3n6SNfb7mcys/npa3qwzVSpx2H/9goiUB/u5v/rjY71X+D2Sxx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5x6MUAAADbAAAADwAAAAAAAAAA&#10;AAAAAAChAgAAZHJzL2Rvd25yZXYueG1sUEsFBgAAAAAEAAQA+QAAAJMDAAAAAA==&#10;" strokecolor="#231f20" strokeweight="1pt"/>
            <v:line id="Line 10" o:spid="_x0000_s1028" style="position:absolute;visibility:visibl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zvn8QAAADbAAAADwAAAGRycy9kb3ducmV2LnhtbESPQWvCQBCF70L/wzKFXqRu1BIkukpR&#10;qvbYVIrHITtNgtnZuLua+O/dQsHbDO/N+94sVr1pxJWcry0rGI8SEMSF1TWXCg7fH68zED4ga2ws&#10;k4IbeVgtnwYLzLTt+IuueShFDGGfoYIqhDaT0hcVGfQj2xJH7dc6gyGurpTaYRfDTSMnSZJKgzVH&#10;QoUtrSsqTvnFRIg7J8NNuvvsjpM3m5+20x/bTJV6ee7f5yAC9eFh/r/e61g/hb9f4gB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nO+fxAAAANsAAAAPAAAAAAAAAAAA&#10;AAAAAKECAABkcnMvZG93bnJldi54bWxQSwUGAAAAAAQABAD5AAAAkgMAAAAA&#10;" strokecolor="#231f20" strokeweight="1pt"/>
            <v:line id="Line 11" o:spid="_x0000_s1029" style="position:absolute;visibility:visibl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BKBMQAAADbAAAADwAAAGRycy9kb3ducmV2LnhtbESPQWvCQBCF74L/YRnBi+imWrSkrlIU&#10;az02FelxyE6TYHY27q4m/fduoeBthvfmfW+W687U4kbOV5YVPE0SEMS51RUXCo5fu/ELCB+QNdaW&#10;ScEveViv+r0lptq2/Em3LBQihrBPUUEZQpNK6fOSDPqJbYij9mOdwRBXV0jtsI3hppbTJJlLgxVH&#10;QokNbUrKz9nVRIi7JKPtfH9ov6fPNju/z062nik1HHRvryACdeFh/r/+0LH+Av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0EoExAAAANsAAAAPAAAAAAAAAAAA&#10;AAAAAKECAABkcnMvZG93bnJldi54bWxQSwUGAAAAAAQABAD5AAAAkgMAAAAA&#10;" strokecolor="#231f20" strokeweight="1pt"/>
            <w10:wrap type="none"/>
            <w10:anchorlock/>
          </v:group>
        </w:pict>
      </w:r>
    </w:p>
    <w:p w:rsidR="001F7066" w:rsidRPr="00EA5F53" w:rsidRDefault="001F7066" w:rsidP="00B953E4">
      <w:pPr>
        <w:pStyle w:val="BodyText"/>
        <w:ind w:left="2880"/>
        <w:jc w:val="center"/>
        <w:rPr>
          <w:rFonts w:ascii="Kokila" w:hAnsi="Kokila" w:cs="Kokila"/>
          <w:rtl/>
          <w:cs/>
        </w:rPr>
      </w:pPr>
    </w:p>
    <w:p w:rsidR="002E5631" w:rsidRDefault="00A01D5D" w:rsidP="00B953E4">
      <w:pPr>
        <w:pStyle w:val="BodyText"/>
        <w:ind w:left="2880"/>
        <w:jc w:val="center"/>
        <w:rPr>
          <w:rFonts w:ascii="Kokila" w:hAnsi="Kokila" w:cs="Kokila"/>
          <w:b/>
          <w:bCs/>
          <w:sz w:val="52"/>
          <w:szCs w:val="52"/>
          <w:lang w:bidi="hi-IN"/>
        </w:rPr>
      </w:pPr>
      <w:r w:rsidRPr="00A01D5D">
        <w:rPr>
          <w:rFonts w:ascii="Kokila" w:hAnsi="Kokila" w:cs="Kokila" w:hint="cs"/>
          <w:b/>
          <w:bCs/>
          <w:sz w:val="52"/>
          <w:szCs w:val="52"/>
          <w:cs/>
          <w:lang w:bidi="hi-IN"/>
        </w:rPr>
        <w:t>विद्युत</w:t>
      </w:r>
      <w:r w:rsidRPr="00A01D5D">
        <w:rPr>
          <w:rFonts w:ascii="Kokila" w:hAnsi="Kokila" w:cs="Kokila"/>
          <w:b/>
          <w:bCs/>
          <w:sz w:val="52"/>
          <w:szCs w:val="52"/>
          <w:cs/>
          <w:lang w:bidi="hi-IN"/>
        </w:rPr>
        <w:t xml:space="preserve"> </w:t>
      </w:r>
      <w:r w:rsidRPr="00A01D5D">
        <w:rPr>
          <w:rFonts w:ascii="Kokila" w:hAnsi="Kokila" w:cs="Kokila" w:hint="cs"/>
          <w:b/>
          <w:bCs/>
          <w:sz w:val="52"/>
          <w:szCs w:val="52"/>
          <w:cs/>
          <w:lang w:bidi="hi-IN"/>
        </w:rPr>
        <w:t>घूर्णिय</w:t>
      </w:r>
      <w:r w:rsidRPr="00A01D5D">
        <w:rPr>
          <w:rFonts w:ascii="Kokila" w:hAnsi="Kokila" w:cs="Kokila"/>
          <w:b/>
          <w:bCs/>
          <w:sz w:val="52"/>
          <w:szCs w:val="52"/>
          <w:cs/>
          <w:lang w:bidi="hi-IN"/>
        </w:rPr>
        <w:t xml:space="preserve"> </w:t>
      </w:r>
      <w:r w:rsidR="00CA5E2A" w:rsidRPr="00CA5E2A">
        <w:rPr>
          <w:rFonts w:ascii="Kokila" w:hAnsi="Kokila" w:cs="Kokila" w:hint="cs"/>
          <w:b/>
          <w:bCs/>
          <w:sz w:val="52"/>
          <w:szCs w:val="52"/>
          <w:cs/>
          <w:lang w:bidi="hi-IN"/>
        </w:rPr>
        <w:t>मशीनें</w:t>
      </w:r>
    </w:p>
    <w:p w:rsidR="002E5631" w:rsidRPr="002E5631" w:rsidRDefault="002E5631" w:rsidP="002E5631">
      <w:pPr>
        <w:pStyle w:val="BodyText"/>
        <w:ind w:left="2880"/>
        <w:jc w:val="center"/>
        <w:rPr>
          <w:rFonts w:ascii="Kokila" w:hAnsi="Kokila" w:cs="Kokila"/>
          <w:b/>
          <w:bCs/>
          <w:sz w:val="44"/>
          <w:szCs w:val="44"/>
          <w:lang w:bidi="hi-IN"/>
        </w:rPr>
      </w:pPr>
      <w:r w:rsidRPr="002E5631">
        <w:rPr>
          <w:rFonts w:ascii="Kokila" w:hAnsi="Kokila" w:cs="Kokila" w:hint="cs"/>
          <w:b/>
          <w:bCs/>
          <w:sz w:val="44"/>
          <w:szCs w:val="44"/>
          <w:cs/>
          <w:lang w:bidi="hi-IN"/>
        </w:rPr>
        <w:t>भाग</w:t>
      </w:r>
      <w:r w:rsidRPr="002E5631">
        <w:rPr>
          <w:rFonts w:ascii="Kokila" w:hAnsi="Kokila" w:cs="Kokila"/>
          <w:b/>
          <w:bCs/>
          <w:sz w:val="44"/>
          <w:szCs w:val="44"/>
          <w:cs/>
          <w:lang w:bidi="hi-IN"/>
        </w:rPr>
        <w:t xml:space="preserve"> </w:t>
      </w:r>
      <w:r w:rsidRPr="002E5631">
        <w:rPr>
          <w:rFonts w:ascii="Kokila" w:hAnsi="Kokila" w:cs="Kokila"/>
          <w:b/>
          <w:bCs/>
          <w:sz w:val="44"/>
          <w:szCs w:val="44"/>
          <w:lang w:bidi="hi-IN"/>
        </w:rPr>
        <w:t>18</w:t>
      </w:r>
      <w:r w:rsidRPr="002E5631">
        <w:rPr>
          <w:rFonts w:ascii="Kokila" w:hAnsi="Kokila" w:cs="Kokila"/>
          <w:b/>
          <w:bCs/>
          <w:sz w:val="44"/>
          <w:szCs w:val="44"/>
          <w:cs/>
          <w:lang w:bidi="hi-IN"/>
        </w:rPr>
        <w:t xml:space="preserve"> </w:t>
      </w:r>
      <w:r w:rsidRPr="002E5631">
        <w:rPr>
          <w:rFonts w:ascii="Kokila" w:hAnsi="Kokila" w:cs="Kokila" w:hint="cs"/>
          <w:b/>
          <w:bCs/>
          <w:sz w:val="44"/>
          <w:szCs w:val="44"/>
          <w:cs/>
          <w:lang w:bidi="hi-IN"/>
        </w:rPr>
        <w:t>आंशिक</w:t>
      </w:r>
      <w:r w:rsidRPr="002E5631">
        <w:rPr>
          <w:rFonts w:ascii="Kokila" w:hAnsi="Kokila" w:cs="Kokila"/>
          <w:b/>
          <w:bCs/>
          <w:sz w:val="44"/>
          <w:szCs w:val="44"/>
          <w:cs/>
          <w:lang w:bidi="hi-IN"/>
        </w:rPr>
        <w:t xml:space="preserve"> </w:t>
      </w:r>
      <w:r w:rsidRPr="002E5631">
        <w:rPr>
          <w:rFonts w:ascii="Kokila" w:hAnsi="Kokila" w:cs="Kokila" w:hint="cs"/>
          <w:b/>
          <w:bCs/>
          <w:sz w:val="44"/>
          <w:szCs w:val="44"/>
          <w:cs/>
          <w:lang w:bidi="hi-IN"/>
        </w:rPr>
        <w:t>डिस्चार्ज</w:t>
      </w:r>
      <w:r w:rsidRPr="002E5631">
        <w:rPr>
          <w:rFonts w:ascii="Kokila" w:hAnsi="Kokila" w:cs="Kokila"/>
          <w:b/>
          <w:bCs/>
          <w:sz w:val="44"/>
          <w:szCs w:val="44"/>
          <w:cs/>
          <w:lang w:bidi="hi-IN"/>
        </w:rPr>
        <w:t xml:space="preserve"> </w:t>
      </w:r>
      <w:r w:rsidRPr="002E5631">
        <w:rPr>
          <w:rFonts w:ascii="Kokila" w:hAnsi="Kokila" w:cs="Kokila" w:hint="cs"/>
          <w:b/>
          <w:bCs/>
          <w:sz w:val="44"/>
          <w:szCs w:val="44"/>
          <w:cs/>
          <w:lang w:bidi="hi-IN"/>
        </w:rPr>
        <w:t>मुक्त</w:t>
      </w:r>
      <w:r w:rsidRPr="002E5631">
        <w:rPr>
          <w:rFonts w:ascii="Kokila" w:hAnsi="Kokila" w:cs="Kokila"/>
          <w:b/>
          <w:bCs/>
          <w:sz w:val="44"/>
          <w:szCs w:val="44"/>
          <w:cs/>
          <w:lang w:bidi="hi-IN"/>
        </w:rPr>
        <w:t xml:space="preserve"> </w:t>
      </w:r>
      <w:r w:rsidRPr="002E5631">
        <w:rPr>
          <w:rFonts w:ascii="Kokila" w:hAnsi="Kokila" w:cs="Kokila" w:hint="cs"/>
          <w:b/>
          <w:bCs/>
          <w:sz w:val="44"/>
          <w:szCs w:val="44"/>
          <w:cs/>
          <w:lang w:bidi="hi-IN"/>
        </w:rPr>
        <w:t>विद्युत</w:t>
      </w:r>
      <w:r w:rsidRPr="002E5631">
        <w:rPr>
          <w:rFonts w:ascii="Kokila" w:hAnsi="Kokila" w:cs="Kokila"/>
          <w:b/>
          <w:bCs/>
          <w:sz w:val="44"/>
          <w:szCs w:val="44"/>
          <w:cs/>
          <w:lang w:bidi="hi-IN"/>
        </w:rPr>
        <w:t xml:space="preserve"> </w:t>
      </w:r>
      <w:r w:rsidRPr="002E5631">
        <w:rPr>
          <w:rFonts w:ascii="Kokila" w:hAnsi="Kokila" w:cs="Kokila" w:hint="cs"/>
          <w:b/>
          <w:bCs/>
          <w:sz w:val="44"/>
          <w:szCs w:val="44"/>
          <w:cs/>
          <w:lang w:bidi="hi-IN"/>
        </w:rPr>
        <w:t>इन्सुलेशन</w:t>
      </w:r>
      <w:r w:rsidRPr="002E5631">
        <w:rPr>
          <w:rFonts w:ascii="Kokila" w:hAnsi="Kokila" w:cs="Kokila"/>
          <w:b/>
          <w:bCs/>
          <w:sz w:val="44"/>
          <w:szCs w:val="44"/>
          <w:cs/>
          <w:lang w:bidi="hi-IN"/>
        </w:rPr>
        <w:t xml:space="preserve"> </w:t>
      </w:r>
      <w:r w:rsidRPr="002E5631">
        <w:rPr>
          <w:rFonts w:ascii="Kokila" w:hAnsi="Kokila" w:cs="Kokila" w:hint="cs"/>
          <w:b/>
          <w:bCs/>
          <w:sz w:val="44"/>
          <w:szCs w:val="44"/>
          <w:cs/>
          <w:lang w:bidi="hi-IN"/>
        </w:rPr>
        <w:t>सिस्टम</w:t>
      </w:r>
      <w:r w:rsidRPr="002E5631">
        <w:rPr>
          <w:rFonts w:ascii="Kokila" w:hAnsi="Kokila" w:cs="Kokila"/>
          <w:b/>
          <w:bCs/>
          <w:sz w:val="44"/>
          <w:szCs w:val="44"/>
          <w:cs/>
          <w:lang w:bidi="hi-IN"/>
        </w:rPr>
        <w:t xml:space="preserve"> (</w:t>
      </w:r>
      <w:r w:rsidRPr="002E5631">
        <w:rPr>
          <w:rFonts w:ascii="Kokila" w:hAnsi="Kokila" w:cs="Kokila" w:hint="cs"/>
          <w:b/>
          <w:bCs/>
          <w:sz w:val="44"/>
          <w:szCs w:val="44"/>
          <w:cs/>
          <w:lang w:bidi="hi-IN"/>
        </w:rPr>
        <w:t>टाइप</w:t>
      </w:r>
      <w:r w:rsidRPr="002E5631">
        <w:rPr>
          <w:rFonts w:ascii="Kokila" w:hAnsi="Kokila" w:cs="Kokila"/>
          <w:b/>
          <w:bCs/>
          <w:sz w:val="44"/>
          <w:szCs w:val="44"/>
          <w:cs/>
          <w:lang w:bidi="hi-IN"/>
        </w:rPr>
        <w:t xml:space="preserve"> </w:t>
      </w:r>
      <w:r w:rsidRPr="002E5631">
        <w:rPr>
          <w:rFonts w:ascii="Kokila" w:hAnsi="Kokila" w:cs="Kokila"/>
          <w:b/>
          <w:bCs/>
          <w:sz w:val="44"/>
          <w:szCs w:val="44"/>
          <w:lang w:bidi="hi-IN"/>
        </w:rPr>
        <w:t xml:space="preserve">I) </w:t>
      </w:r>
      <w:r w:rsidRPr="002E5631">
        <w:rPr>
          <w:rFonts w:ascii="Kokila" w:hAnsi="Kokila" w:cs="Kokila" w:hint="cs"/>
          <w:b/>
          <w:bCs/>
          <w:sz w:val="44"/>
          <w:szCs w:val="44"/>
          <w:cs/>
          <w:lang w:bidi="hi-IN"/>
        </w:rPr>
        <w:t>वोल्टेज</w:t>
      </w:r>
      <w:r w:rsidRPr="002E5631">
        <w:rPr>
          <w:rFonts w:ascii="Kokila" w:hAnsi="Kokila" w:cs="Kokila"/>
          <w:b/>
          <w:bCs/>
          <w:sz w:val="44"/>
          <w:szCs w:val="44"/>
          <w:cs/>
          <w:lang w:bidi="hi-IN"/>
        </w:rPr>
        <w:t xml:space="preserve"> </w:t>
      </w:r>
      <w:r w:rsidRPr="002E5631">
        <w:rPr>
          <w:rFonts w:ascii="Kokila" w:hAnsi="Kokila" w:cs="Kokila" w:hint="cs"/>
          <w:b/>
          <w:bCs/>
          <w:sz w:val="44"/>
          <w:szCs w:val="44"/>
          <w:cs/>
          <w:lang w:bidi="hi-IN"/>
        </w:rPr>
        <w:t>कन्वर्टर्स</w:t>
      </w:r>
      <w:r w:rsidRPr="002E5631">
        <w:rPr>
          <w:rFonts w:ascii="Kokila" w:hAnsi="Kokila" w:cs="Kokila"/>
          <w:b/>
          <w:bCs/>
          <w:sz w:val="44"/>
          <w:szCs w:val="44"/>
          <w:cs/>
          <w:lang w:bidi="hi-IN"/>
        </w:rPr>
        <w:t xml:space="preserve"> </w:t>
      </w:r>
      <w:r w:rsidRPr="002E5631">
        <w:rPr>
          <w:rFonts w:ascii="Kokila" w:hAnsi="Kokila" w:cs="Kokila" w:hint="cs"/>
          <w:b/>
          <w:bCs/>
          <w:sz w:val="44"/>
          <w:szCs w:val="44"/>
          <w:cs/>
          <w:lang w:bidi="hi-IN"/>
        </w:rPr>
        <w:t>से</w:t>
      </w:r>
      <w:r w:rsidRPr="002E5631">
        <w:rPr>
          <w:rFonts w:ascii="Kokila" w:hAnsi="Kokila" w:cs="Kokila"/>
          <w:b/>
          <w:bCs/>
          <w:sz w:val="44"/>
          <w:szCs w:val="44"/>
          <w:cs/>
          <w:lang w:bidi="hi-IN"/>
        </w:rPr>
        <w:t xml:space="preserve"> </w:t>
      </w:r>
      <w:r w:rsidRPr="002E5631">
        <w:rPr>
          <w:rFonts w:ascii="Kokila" w:hAnsi="Kokila" w:cs="Kokila" w:hint="cs"/>
          <w:b/>
          <w:bCs/>
          <w:sz w:val="44"/>
          <w:szCs w:val="44"/>
          <w:cs/>
          <w:lang w:bidi="hi-IN"/>
        </w:rPr>
        <w:t>संचालित</w:t>
      </w:r>
      <w:r w:rsidRPr="002E5631">
        <w:rPr>
          <w:rFonts w:ascii="Kokila" w:hAnsi="Kokila" w:cs="Kokila"/>
          <w:b/>
          <w:bCs/>
          <w:sz w:val="44"/>
          <w:szCs w:val="44"/>
          <w:cs/>
          <w:lang w:bidi="hi-IN"/>
        </w:rPr>
        <w:t xml:space="preserve"> </w:t>
      </w:r>
      <w:r w:rsidRPr="002E5631">
        <w:rPr>
          <w:rFonts w:ascii="Kokila" w:hAnsi="Kokila" w:cs="Kokila" w:hint="cs"/>
          <w:b/>
          <w:bCs/>
          <w:sz w:val="44"/>
          <w:szCs w:val="44"/>
          <w:cs/>
          <w:lang w:bidi="hi-IN"/>
        </w:rPr>
        <w:t>रोटेटिंग</w:t>
      </w:r>
      <w:r w:rsidRPr="002E5631">
        <w:rPr>
          <w:rFonts w:ascii="Kokila" w:hAnsi="Kokila" w:cs="Kokila"/>
          <w:b/>
          <w:bCs/>
          <w:sz w:val="44"/>
          <w:szCs w:val="44"/>
          <w:cs/>
          <w:lang w:bidi="hi-IN"/>
        </w:rPr>
        <w:t xml:space="preserve"> </w:t>
      </w:r>
      <w:r w:rsidRPr="002E5631">
        <w:rPr>
          <w:rFonts w:ascii="Kokila" w:hAnsi="Kokila" w:cs="Kokila" w:hint="cs"/>
          <w:b/>
          <w:bCs/>
          <w:sz w:val="44"/>
          <w:szCs w:val="44"/>
          <w:cs/>
          <w:lang w:bidi="hi-IN"/>
        </w:rPr>
        <w:t>इलेक्ट्रिकल</w:t>
      </w:r>
      <w:r w:rsidRPr="002E5631">
        <w:rPr>
          <w:rFonts w:ascii="Kokila" w:hAnsi="Kokila" w:cs="Kokila"/>
          <w:b/>
          <w:bCs/>
          <w:sz w:val="44"/>
          <w:szCs w:val="44"/>
          <w:cs/>
          <w:lang w:bidi="hi-IN"/>
        </w:rPr>
        <w:t xml:space="preserve"> </w:t>
      </w:r>
      <w:r w:rsidRPr="002E5631">
        <w:rPr>
          <w:rFonts w:ascii="Kokila" w:hAnsi="Kokila" w:cs="Kokila" w:hint="cs"/>
          <w:b/>
          <w:bCs/>
          <w:sz w:val="44"/>
          <w:szCs w:val="44"/>
          <w:cs/>
          <w:lang w:bidi="hi-IN"/>
        </w:rPr>
        <w:t>मशीनों</w:t>
      </w:r>
      <w:r w:rsidRPr="002E5631">
        <w:rPr>
          <w:rFonts w:ascii="Kokila" w:hAnsi="Kokila" w:cs="Kokila"/>
          <w:b/>
          <w:bCs/>
          <w:sz w:val="44"/>
          <w:szCs w:val="44"/>
          <w:cs/>
          <w:lang w:bidi="hi-IN"/>
        </w:rPr>
        <w:t xml:space="preserve"> </w:t>
      </w:r>
      <w:r w:rsidRPr="002E5631">
        <w:rPr>
          <w:rFonts w:ascii="Kokila" w:hAnsi="Kokila" w:cs="Kokila" w:hint="cs"/>
          <w:b/>
          <w:bCs/>
          <w:sz w:val="44"/>
          <w:szCs w:val="44"/>
          <w:cs/>
          <w:lang w:bidi="hi-IN"/>
        </w:rPr>
        <w:t>में</w:t>
      </w:r>
      <w:r w:rsidRPr="002E5631">
        <w:rPr>
          <w:rFonts w:ascii="Kokila" w:hAnsi="Kokila" w:cs="Kokila"/>
          <w:b/>
          <w:bCs/>
          <w:sz w:val="44"/>
          <w:szCs w:val="44"/>
          <w:cs/>
          <w:lang w:bidi="hi-IN"/>
        </w:rPr>
        <w:t xml:space="preserve"> </w:t>
      </w:r>
      <w:r w:rsidRPr="002E5631">
        <w:rPr>
          <w:rFonts w:ascii="Kokila" w:hAnsi="Kokila" w:cs="Kokila" w:hint="cs"/>
          <w:b/>
          <w:bCs/>
          <w:sz w:val="44"/>
          <w:szCs w:val="44"/>
          <w:cs/>
          <w:lang w:bidi="hi-IN"/>
        </w:rPr>
        <w:t>उपयोग</w:t>
      </w:r>
      <w:r w:rsidRPr="002E5631">
        <w:rPr>
          <w:rFonts w:ascii="Kokila" w:hAnsi="Kokila" w:cs="Kokila"/>
          <w:b/>
          <w:bCs/>
          <w:sz w:val="44"/>
          <w:szCs w:val="44"/>
          <w:cs/>
          <w:lang w:bidi="hi-IN"/>
        </w:rPr>
        <w:t xml:space="preserve"> </w:t>
      </w:r>
      <w:r w:rsidRPr="002E5631">
        <w:rPr>
          <w:rFonts w:ascii="Kokila" w:hAnsi="Kokila" w:cs="Kokila" w:hint="cs"/>
          <w:b/>
          <w:bCs/>
          <w:sz w:val="44"/>
          <w:szCs w:val="44"/>
          <w:cs/>
          <w:lang w:bidi="hi-IN"/>
        </w:rPr>
        <w:t>किया</w:t>
      </w:r>
      <w:r w:rsidRPr="002E5631">
        <w:rPr>
          <w:rFonts w:ascii="Kokila" w:hAnsi="Kokila" w:cs="Kokila"/>
          <w:b/>
          <w:bCs/>
          <w:sz w:val="44"/>
          <w:szCs w:val="44"/>
          <w:cs/>
          <w:lang w:bidi="hi-IN"/>
        </w:rPr>
        <w:t xml:space="preserve"> </w:t>
      </w:r>
      <w:r w:rsidRPr="002E5631">
        <w:rPr>
          <w:rFonts w:ascii="Kokila" w:hAnsi="Kokila" w:cs="Kokila" w:hint="cs"/>
          <w:b/>
          <w:bCs/>
          <w:sz w:val="44"/>
          <w:szCs w:val="44"/>
          <w:cs/>
          <w:lang w:bidi="hi-IN"/>
        </w:rPr>
        <w:t>जाता</w:t>
      </w:r>
      <w:r w:rsidRPr="002E5631">
        <w:rPr>
          <w:rFonts w:ascii="Kokila" w:hAnsi="Kokila" w:cs="Kokila"/>
          <w:b/>
          <w:bCs/>
          <w:sz w:val="44"/>
          <w:szCs w:val="44"/>
          <w:cs/>
          <w:lang w:bidi="hi-IN"/>
        </w:rPr>
        <w:t xml:space="preserve"> </w:t>
      </w:r>
      <w:r w:rsidRPr="002E5631">
        <w:rPr>
          <w:rFonts w:ascii="Kokila" w:hAnsi="Kokila" w:cs="Kokila" w:hint="cs"/>
          <w:b/>
          <w:bCs/>
          <w:sz w:val="44"/>
          <w:szCs w:val="44"/>
          <w:cs/>
          <w:lang w:bidi="hi-IN"/>
        </w:rPr>
        <w:t>है</w:t>
      </w:r>
    </w:p>
    <w:p w:rsidR="00A01D5D" w:rsidRDefault="00D6389F" w:rsidP="002E5631">
      <w:pPr>
        <w:pStyle w:val="BodyText"/>
        <w:ind w:left="2880"/>
        <w:jc w:val="center"/>
        <w:rPr>
          <w:rFonts w:ascii="Kokila" w:hAnsi="Kokila" w:cs="Kokila"/>
          <w:b/>
          <w:bCs/>
          <w:sz w:val="52"/>
          <w:szCs w:val="52"/>
          <w:lang w:bidi="hi-IN"/>
        </w:rPr>
      </w:pPr>
      <w:r w:rsidRPr="00A01D5D">
        <w:rPr>
          <w:rFonts w:ascii="Kokila" w:hAnsi="Kokila" w:cs="Kokila" w:hint="cs"/>
          <w:b/>
          <w:bCs/>
          <w:sz w:val="40"/>
          <w:szCs w:val="40"/>
          <w:cs/>
          <w:lang w:bidi="hi-IN"/>
        </w:rPr>
        <w:t>अनुभाग</w:t>
      </w:r>
      <w:r w:rsidR="002E5631" w:rsidRPr="002E5631">
        <w:rPr>
          <w:rFonts w:ascii="Kokila" w:hAnsi="Kokila" w:cs="Kokila"/>
          <w:b/>
          <w:bCs/>
          <w:sz w:val="40"/>
          <w:szCs w:val="40"/>
          <w:cs/>
          <w:lang w:bidi="hi-IN"/>
        </w:rPr>
        <w:t xml:space="preserve"> </w:t>
      </w:r>
      <w:r w:rsidR="002E5631" w:rsidRPr="002E5631">
        <w:rPr>
          <w:rFonts w:ascii="Kokila" w:hAnsi="Kokila" w:cs="Kokila"/>
          <w:b/>
          <w:bCs/>
          <w:sz w:val="40"/>
          <w:szCs w:val="40"/>
          <w:lang w:bidi="hi-IN"/>
        </w:rPr>
        <w:t xml:space="preserve">41 </w:t>
      </w:r>
      <w:r w:rsidR="002E5631" w:rsidRPr="002E5631">
        <w:rPr>
          <w:rFonts w:ascii="Kokila" w:hAnsi="Kokila" w:cs="Kokila" w:hint="cs"/>
          <w:b/>
          <w:bCs/>
          <w:sz w:val="40"/>
          <w:szCs w:val="40"/>
          <w:cs/>
          <w:lang w:bidi="hi-IN"/>
        </w:rPr>
        <w:t>योग्यता</w:t>
      </w:r>
      <w:r w:rsidR="002E5631" w:rsidRPr="002E5631">
        <w:rPr>
          <w:rFonts w:ascii="Kokila" w:hAnsi="Kokila" w:cs="Kokila"/>
          <w:b/>
          <w:bCs/>
          <w:sz w:val="40"/>
          <w:szCs w:val="40"/>
          <w:cs/>
          <w:lang w:bidi="hi-IN"/>
        </w:rPr>
        <w:t xml:space="preserve"> </w:t>
      </w:r>
      <w:r w:rsidR="002E5631" w:rsidRPr="002E5631">
        <w:rPr>
          <w:rFonts w:ascii="Kokila" w:hAnsi="Kokila" w:cs="Kokila" w:hint="cs"/>
          <w:b/>
          <w:bCs/>
          <w:sz w:val="40"/>
          <w:szCs w:val="40"/>
          <w:cs/>
          <w:lang w:bidi="hi-IN"/>
        </w:rPr>
        <w:t>और</w:t>
      </w:r>
      <w:r w:rsidR="002E5631" w:rsidRPr="002E5631">
        <w:rPr>
          <w:rFonts w:ascii="Kokila" w:hAnsi="Kokila" w:cs="Kokila"/>
          <w:b/>
          <w:bCs/>
          <w:sz w:val="40"/>
          <w:szCs w:val="40"/>
          <w:cs/>
          <w:lang w:bidi="hi-IN"/>
        </w:rPr>
        <w:t xml:space="preserve"> </w:t>
      </w:r>
      <w:r w:rsidR="002E5631" w:rsidRPr="002E5631">
        <w:rPr>
          <w:rFonts w:ascii="Kokila" w:hAnsi="Kokila" w:cs="Kokila" w:hint="cs"/>
          <w:b/>
          <w:bCs/>
          <w:sz w:val="40"/>
          <w:szCs w:val="40"/>
          <w:cs/>
          <w:lang w:bidi="hi-IN"/>
        </w:rPr>
        <w:t>गुणवत्ता</w:t>
      </w:r>
      <w:r w:rsidR="002E5631" w:rsidRPr="002E5631">
        <w:rPr>
          <w:rFonts w:ascii="Kokila" w:hAnsi="Kokila" w:cs="Kokila"/>
          <w:b/>
          <w:bCs/>
          <w:sz w:val="40"/>
          <w:szCs w:val="40"/>
          <w:cs/>
          <w:lang w:bidi="hi-IN"/>
        </w:rPr>
        <w:t xml:space="preserve"> </w:t>
      </w:r>
      <w:r w:rsidR="002E5631" w:rsidRPr="002E5631">
        <w:rPr>
          <w:rFonts w:ascii="Kokila" w:hAnsi="Kokila" w:cs="Kokila" w:hint="cs"/>
          <w:b/>
          <w:bCs/>
          <w:sz w:val="40"/>
          <w:szCs w:val="40"/>
          <w:cs/>
          <w:lang w:bidi="hi-IN"/>
        </w:rPr>
        <w:t>नियंत्रण</w:t>
      </w:r>
      <w:r w:rsidR="002E5631" w:rsidRPr="002E5631">
        <w:rPr>
          <w:rFonts w:ascii="Kokila" w:hAnsi="Kokila" w:cs="Kokila"/>
          <w:b/>
          <w:bCs/>
          <w:sz w:val="40"/>
          <w:szCs w:val="40"/>
          <w:cs/>
          <w:lang w:bidi="hi-IN"/>
        </w:rPr>
        <w:t xml:space="preserve"> </w:t>
      </w:r>
      <w:r w:rsidR="002E5631" w:rsidRPr="002E5631">
        <w:rPr>
          <w:rFonts w:ascii="Kokila" w:hAnsi="Kokila" w:cs="Kokila" w:hint="cs"/>
          <w:b/>
          <w:bCs/>
          <w:sz w:val="40"/>
          <w:szCs w:val="40"/>
          <w:cs/>
          <w:lang w:bidi="hi-IN"/>
        </w:rPr>
        <w:t>परीक्षण</w:t>
      </w:r>
      <w:r w:rsidR="00C04847">
        <w:rPr>
          <w:rFonts w:ascii="Kokila" w:hAnsi="Kokila" w:cs="Kokila"/>
          <w:b/>
          <w:bCs/>
          <w:sz w:val="52"/>
          <w:szCs w:val="52"/>
          <w:lang w:bidi="hi-IN"/>
        </w:rPr>
        <w:tab/>
      </w:r>
    </w:p>
    <w:p w:rsidR="00B953E4" w:rsidRPr="00B953E4" w:rsidRDefault="00B953E4" w:rsidP="00B953E4">
      <w:pPr>
        <w:pStyle w:val="BodyText"/>
        <w:spacing w:before="120" w:after="120"/>
        <w:ind w:left="2430"/>
        <w:jc w:val="center"/>
        <w:rPr>
          <w:rFonts w:ascii="Arial" w:hAnsi="Arial" w:cs="Arial"/>
          <w:b/>
          <w:bCs/>
          <w:sz w:val="36"/>
          <w:szCs w:val="36"/>
        </w:rPr>
      </w:pPr>
      <w:r w:rsidRPr="00B953E4">
        <w:rPr>
          <w:rFonts w:ascii="Arial" w:hAnsi="Arial" w:cs="Arial"/>
          <w:b/>
          <w:bCs/>
          <w:sz w:val="36"/>
          <w:szCs w:val="36"/>
        </w:rPr>
        <w:t>Rotating Electrical Machines</w:t>
      </w:r>
    </w:p>
    <w:p w:rsidR="002E5631" w:rsidRDefault="002E5631" w:rsidP="00B953E4">
      <w:pPr>
        <w:pStyle w:val="BodyText"/>
        <w:spacing w:before="120" w:after="120"/>
        <w:ind w:left="2430"/>
        <w:jc w:val="center"/>
        <w:rPr>
          <w:rFonts w:ascii="Arial" w:hAnsi="Arial" w:cs="Arial"/>
          <w:b/>
          <w:bCs/>
          <w:sz w:val="32"/>
          <w:szCs w:val="32"/>
        </w:rPr>
      </w:pPr>
      <w:r w:rsidRPr="002E5631">
        <w:rPr>
          <w:rFonts w:ascii="Arial" w:hAnsi="Arial" w:cs="Arial"/>
          <w:b/>
          <w:bCs/>
          <w:sz w:val="32"/>
          <w:szCs w:val="32"/>
        </w:rPr>
        <w:t>Part 18</w:t>
      </w:r>
      <w:r>
        <w:rPr>
          <w:rFonts w:ascii="Arial" w:hAnsi="Arial" w:cs="Arial"/>
          <w:b/>
          <w:bCs/>
          <w:sz w:val="32"/>
          <w:szCs w:val="32"/>
        </w:rPr>
        <w:t xml:space="preserve"> </w:t>
      </w:r>
      <w:r w:rsidRPr="002E5631">
        <w:rPr>
          <w:rFonts w:ascii="Arial" w:hAnsi="Arial" w:cs="Arial"/>
          <w:b/>
          <w:bCs/>
          <w:sz w:val="32"/>
          <w:szCs w:val="32"/>
        </w:rPr>
        <w:t xml:space="preserve">Partial Discharge free Electrical Insulation Systems (Type I) used in Rotating Electrical Machines Fed from Voltage Converters </w:t>
      </w:r>
    </w:p>
    <w:p w:rsidR="002E5631" w:rsidRPr="002E5631" w:rsidRDefault="002E5631" w:rsidP="00B953E4">
      <w:pPr>
        <w:pStyle w:val="BodyText"/>
        <w:spacing w:before="120" w:after="120"/>
        <w:ind w:left="2430"/>
        <w:jc w:val="center"/>
        <w:rPr>
          <w:rFonts w:ascii="Arial" w:hAnsi="Arial" w:cs="Arial"/>
          <w:b/>
          <w:bCs/>
          <w:sz w:val="28"/>
          <w:szCs w:val="28"/>
        </w:rPr>
      </w:pPr>
      <w:r w:rsidRPr="002E5631">
        <w:rPr>
          <w:rFonts w:ascii="Arial" w:hAnsi="Arial" w:cs="Arial"/>
          <w:b/>
          <w:bCs/>
          <w:sz w:val="28"/>
          <w:szCs w:val="28"/>
        </w:rPr>
        <w:t>Section 41 Qualification and Quality Control Tests</w:t>
      </w:r>
    </w:p>
    <w:p w:rsidR="00B953E4" w:rsidRDefault="00B953E4" w:rsidP="00B953E4">
      <w:pPr>
        <w:pStyle w:val="BodyText"/>
        <w:ind w:left="2434"/>
        <w:jc w:val="center"/>
        <w:rPr>
          <w:rFonts w:ascii="Arial" w:hAnsi="Arial" w:cs="Arial"/>
        </w:rPr>
      </w:pPr>
    </w:p>
    <w:p w:rsidR="001F7066" w:rsidRPr="00EA5F53" w:rsidRDefault="005314D0" w:rsidP="00B953E4">
      <w:pPr>
        <w:pStyle w:val="BodyText"/>
        <w:ind w:left="2434"/>
        <w:jc w:val="center"/>
        <w:rPr>
          <w:rFonts w:ascii="Arial" w:hAnsi="Arial" w:cs="Arial"/>
        </w:rPr>
      </w:pPr>
      <w:r w:rsidRPr="005314D0">
        <w:rPr>
          <w:rFonts w:ascii="Arial" w:hAnsi="Arial" w:cs="Arial"/>
        </w:rPr>
        <w:t>ICS 29.160.01</w:t>
      </w:r>
    </w:p>
    <w:p w:rsidR="001F7066" w:rsidRDefault="001F7066" w:rsidP="00B953E4">
      <w:pPr>
        <w:pStyle w:val="BodyText"/>
        <w:ind w:left="2430"/>
        <w:jc w:val="center"/>
        <w:rPr>
          <w:rFonts w:ascii="Arial" w:hAnsi="Arial" w:cs="Arial"/>
        </w:rPr>
      </w:pPr>
    </w:p>
    <w:p w:rsidR="00312D95" w:rsidRPr="00EA5F53" w:rsidRDefault="00312D95" w:rsidP="00B953E4">
      <w:pPr>
        <w:pStyle w:val="BodyText"/>
        <w:ind w:left="2430"/>
        <w:jc w:val="center"/>
        <w:rPr>
          <w:rFonts w:ascii="Arial" w:hAnsi="Arial" w:cs="Arial"/>
        </w:rPr>
      </w:pPr>
    </w:p>
    <w:p w:rsidR="001F7066" w:rsidRDefault="001F7066" w:rsidP="00B953E4">
      <w:pPr>
        <w:pStyle w:val="BodyText"/>
        <w:ind w:left="2430"/>
        <w:jc w:val="center"/>
        <w:rPr>
          <w:rFonts w:ascii="Arial" w:hAnsi="Arial" w:cs="Arial"/>
        </w:rPr>
      </w:pPr>
    </w:p>
    <w:p w:rsidR="001F7066" w:rsidRDefault="001F7066" w:rsidP="00B953E4">
      <w:pPr>
        <w:pStyle w:val="BodyText"/>
        <w:ind w:left="2430"/>
        <w:jc w:val="center"/>
        <w:rPr>
          <w:rFonts w:ascii="Arial" w:hAnsi="Arial" w:cs="Arial"/>
        </w:rPr>
      </w:pPr>
    </w:p>
    <w:p w:rsidR="001F7066" w:rsidRPr="00EA5F53" w:rsidRDefault="00735069" w:rsidP="00B953E4">
      <w:pPr>
        <w:pStyle w:val="BodyText"/>
        <w:ind w:left="2430"/>
        <w:jc w:val="center"/>
        <w:rPr>
          <w:rFonts w:ascii="Arial" w:hAnsi="Arial" w:cs="Arial"/>
        </w:rPr>
      </w:pPr>
      <w:r w:rsidRPr="00EA5F53">
        <w:rPr>
          <w:rFonts w:ascii="Arial" w:hAnsi="Arial" w:cs="Arial"/>
        </w:rPr>
        <w:t xml:space="preserve">© </w:t>
      </w:r>
      <w:r w:rsidR="00F30B65">
        <w:rPr>
          <w:rFonts w:ascii="Arial" w:hAnsi="Arial" w:cs="Arial"/>
        </w:rPr>
        <w:t>BIS 2024</w:t>
      </w:r>
    </w:p>
    <w:p w:rsidR="00EA7F06" w:rsidRPr="00EA5F53" w:rsidRDefault="00EA7F06" w:rsidP="00B953E4">
      <w:pPr>
        <w:pStyle w:val="BodyText"/>
        <w:ind w:left="2430"/>
        <w:jc w:val="center"/>
        <w:rPr>
          <w:rFonts w:ascii="Arial" w:hAnsi="Arial" w:cs="Arial"/>
        </w:rPr>
      </w:pPr>
      <w:r w:rsidRPr="00EA5F53">
        <w:rPr>
          <w:rFonts w:ascii="Arial" w:hAnsi="Arial" w:cs="Arial"/>
        </w:rPr>
        <w:t xml:space="preserve">© IEC </w:t>
      </w:r>
      <w:r w:rsidR="00B81B0D">
        <w:rPr>
          <w:rFonts w:ascii="Arial" w:hAnsi="Arial" w:cs="Arial"/>
        </w:rPr>
        <w:t>2014</w:t>
      </w:r>
    </w:p>
    <w:p w:rsidR="00EA7F06" w:rsidRPr="00473F72" w:rsidRDefault="00EA7F06" w:rsidP="00B953E4">
      <w:pPr>
        <w:widowControl/>
        <w:autoSpaceDE/>
        <w:autoSpaceDN/>
        <w:ind w:left="2430"/>
        <w:jc w:val="center"/>
        <w:rPr>
          <w:rFonts w:ascii="Arial" w:hAnsi="Arial" w:cs="Arial"/>
          <w:sz w:val="10"/>
          <w:szCs w:val="24"/>
        </w:rPr>
      </w:pPr>
    </w:p>
    <w:p w:rsidR="00EA7F06" w:rsidRDefault="00EA7F06" w:rsidP="00B953E4">
      <w:pPr>
        <w:widowControl/>
        <w:autoSpaceDE/>
        <w:autoSpaceDN/>
        <w:spacing w:after="120"/>
        <w:ind w:left="2430"/>
        <w:jc w:val="center"/>
        <w:rPr>
          <w:rFonts w:ascii="Arial" w:hAnsi="Arial" w:cs="Arial"/>
          <w:sz w:val="24"/>
          <w:szCs w:val="24"/>
        </w:rPr>
      </w:pPr>
      <w:r w:rsidRPr="00473F72">
        <w:rPr>
          <w:rFonts w:ascii="Arial" w:hAnsi="Arial" w:cs="Arial"/>
          <w:noProof/>
          <w:sz w:val="24"/>
          <w:lang w:bidi="hi-IN"/>
        </w:rPr>
        <w:drawing>
          <wp:inline distT="0" distB="0" distL="0" distR="0">
            <wp:extent cx="419100" cy="41910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419100"/>
                    </a:xfrm>
                    <a:prstGeom prst="rect">
                      <a:avLst/>
                    </a:prstGeom>
                    <a:noFill/>
                    <a:ln>
                      <a:noFill/>
                    </a:ln>
                  </pic:spPr>
                </pic:pic>
              </a:graphicData>
            </a:graphic>
          </wp:inline>
        </w:drawing>
      </w:r>
    </w:p>
    <w:p w:rsidR="001F7066" w:rsidRDefault="00A64B1E" w:rsidP="00B953E4">
      <w:pPr>
        <w:ind w:left="2430"/>
        <w:jc w:val="center"/>
        <w:rPr>
          <w:rFonts w:ascii="Arial" w:hAnsi="Arial"/>
          <w:sz w:val="24"/>
        </w:rPr>
      </w:pPr>
      <w:r w:rsidRPr="00A64B1E">
        <w:rPr>
          <w:noProof/>
        </w:rPr>
      </w:r>
      <w:r w:rsidRPr="00A64B1E">
        <w:rPr>
          <w:noProof/>
        </w:rPr>
        <w:pict>
          <v:group id="Group 18" o:spid="_x0000_s1039" style="width:360.85pt;height:3.85pt;flip:y;mso-position-horizontal-relative:char;mso-position-vertical-relative:line" coordsize="6347,100">
            <v:line id="Line 9" o:spid="_x0000_s1042" style="position:absolute;visibility:visibl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N77cQAAADbAAAADwAAAGRycy9kb3ducmV2LnhtbESPQWvCQBCF74L/YRnBi+imWsSmrlIU&#10;az02FelxyE6TYHY27q4m/fduoeBthvfmfW+W687U4kbOV5YVPE0SEMS51RUXCo5fu/EChA/IGmvL&#10;pOCXPKxX/d4SU21b/qRbFgoRQ9inqKAMoUml9HlJBv3ENsRR+7HOYIirK6R22MZwU8tpksylwYoj&#10;ocSGNiXl5+xqIsRdktF2vj+039Nnm53fZydbz5QaDrq3VxCBuvAw/19/6Fj/Bf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3vtxAAAANsAAAAPAAAAAAAAAAAA&#10;AAAAAKECAABkcnMvZG93bnJldi54bWxQSwUGAAAAAAQABAD5AAAAkgMAAAAA&#10;" strokecolor="#231f20" strokeweight="1pt"/>
            <v:line id="Line 10" o:spid="_x0000_s1041" style="position:absolute;visibility:visibl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UYzcEAAADbAAAADwAAAGRycy9kb3ducmV2LnhtbERPS2vCQBC+F/oflil4KboxFpHoKqWl&#10;r2PTIh6H7JgEs7NxdzXpv+8cCj1+fO/NbnSdulKIrWcD81kGirjytuXawPfXy3QFKiZki51nMvBD&#10;EXbb25sNFtYP/EnXMtVKQjgWaKBJqS+0jlVDDuPM98TCHX1wmASGWtuAg4S7TudZttQOW5aGBnt6&#10;aqg6lRcnJeGc3T8v3z6GQ/7gy9PrYu+7hTGTu/FxDSrRmP7Ff+53ayCX9fJFfoD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VRjNwQAAANsAAAAPAAAAAAAAAAAAAAAA&#10;AKECAABkcnMvZG93bnJldi54bWxQSwUGAAAAAAQABAD5AAAAjwMAAAAA&#10;" strokecolor="#231f20" strokeweight="1pt"/>
            <v:line id="Line 11" o:spid="_x0000_s1040" style="position:absolute;visibility:visibl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m9VsQAAADbAAAADwAAAGRycy9kb3ducmV2LnhtbESPX2vCMBTF3wW/Q7jCXmRNrUNGZxRx&#10;bM7HVREfL81dW2xuuiSz9dsvwmCPh/Pnx1muB9OKKznfWFYwS1IQxKXVDVcKjoe3x2cQPiBrbC2T&#10;ght5WK/GoyXm2vb8SdciVCKOsM9RQR1Cl0vpy5oM+sR2xNH7ss5giNJVUjvs47hpZZamC2mw4Uio&#10;saNtTeWl+DER4r7T6etit+/P2ZMtLu/zk23nSj1Mhs0LiEBD+A//tT+0gmwG9y/x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Gb1WxAAAANsAAAAPAAAAAAAAAAAA&#10;AAAAAKECAABkcnMvZG93bnJldi54bWxQSwUGAAAAAAQABAD5AAAAkgMAAAAA&#10;" strokecolor="#231f20" strokeweight="1pt"/>
            <w10:wrap type="none"/>
            <w10:anchorlock/>
          </v:group>
        </w:pict>
      </w:r>
    </w:p>
    <w:p w:rsidR="00B11257" w:rsidRDefault="00A64B1E" w:rsidP="00B953E4">
      <w:pPr>
        <w:pStyle w:val="BodyText"/>
        <w:ind w:left="2430"/>
        <w:jc w:val="center"/>
        <w:rPr>
          <w:rFonts w:ascii="Kokila" w:hAnsi="Kokila" w:cs="Kokila"/>
          <w:caps/>
          <w:sz w:val="28"/>
          <w:szCs w:val="28"/>
          <w:lang w:bidi="hi-IN"/>
        </w:rPr>
      </w:pPr>
      <w:r w:rsidRPr="00A64B1E">
        <w:rPr>
          <w:rFonts w:ascii="Kokila" w:hAnsi="Kokila" w:cs="Kokila"/>
          <w:b/>
          <w:bCs/>
          <w:noProof/>
          <w:sz w:val="28"/>
          <w:szCs w:val="28"/>
          <w:lang w:val="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05pt;margin-top:14.85pt;width:59.7pt;height:59.7pt;z-index:487590912" o:allowincell="f">
            <v:imagedata r:id="rId8" o:title=""/>
          </v:shape>
          <o:OLEObject Type="Embed" ProgID="MSPhotoEd.3" ShapeID="_x0000_s1038" DrawAspect="Content" ObjectID="_1794203787" r:id="rId9"/>
        </w:pict>
      </w:r>
    </w:p>
    <w:p w:rsidR="008D0FBB" w:rsidRPr="00F5481D" w:rsidRDefault="003E1735" w:rsidP="00B953E4">
      <w:pPr>
        <w:pStyle w:val="BodyText"/>
        <w:ind w:left="2430"/>
        <w:jc w:val="center"/>
        <w:rPr>
          <w:rFonts w:ascii="Kokila" w:hAnsi="Kokila" w:cs="Kokila"/>
          <w:b/>
          <w:caps/>
          <w:sz w:val="28"/>
          <w:szCs w:val="28"/>
        </w:rPr>
      </w:pPr>
      <w:r>
        <w:rPr>
          <w:rFonts w:ascii="Kokila" w:hAnsi="Kokila" w:cs="Kokila"/>
          <w:caps/>
          <w:sz w:val="28"/>
          <w:szCs w:val="28"/>
          <w:lang w:bidi="hi-IN"/>
        </w:rPr>
        <w:t xml:space="preserve">    </w:t>
      </w:r>
      <w:r w:rsidR="008D0FBB" w:rsidRPr="00F5481D">
        <w:rPr>
          <w:rFonts w:ascii="Kokila" w:hAnsi="Kokila" w:cs="Kokila"/>
          <w:caps/>
          <w:sz w:val="28"/>
          <w:szCs w:val="28"/>
          <w:cs/>
          <w:lang w:bidi="hi-IN"/>
        </w:rPr>
        <w:t>भारतीय मानक ब्यूरो</w:t>
      </w:r>
    </w:p>
    <w:p w:rsidR="008D0FBB" w:rsidRPr="00F5481D" w:rsidRDefault="003E1735" w:rsidP="00B953E4">
      <w:pPr>
        <w:pStyle w:val="BodyText"/>
        <w:ind w:left="2430"/>
        <w:jc w:val="center"/>
        <w:rPr>
          <w:rFonts w:ascii="Arial" w:hAnsi="Arial" w:cs="Arial"/>
          <w:color w:val="231F20"/>
          <w:spacing w:val="22"/>
          <w:lang w:bidi="hi-IN"/>
        </w:rPr>
      </w:pPr>
      <w:r>
        <w:rPr>
          <w:rFonts w:ascii="Arial" w:hAnsi="Arial" w:cs="Arial"/>
          <w:color w:val="231F20"/>
          <w:spacing w:val="22"/>
        </w:rPr>
        <w:t xml:space="preserve">    </w:t>
      </w:r>
      <w:r w:rsidR="008D0FBB" w:rsidRPr="00F5481D">
        <w:rPr>
          <w:rFonts w:ascii="Arial" w:hAnsi="Arial" w:cs="Arial"/>
          <w:color w:val="231F20"/>
          <w:spacing w:val="22"/>
        </w:rPr>
        <w:t>BUREAU OF INDIAN STANDARDS</w:t>
      </w:r>
    </w:p>
    <w:p w:rsidR="008D0FBB" w:rsidRPr="00F5481D" w:rsidRDefault="003E1735" w:rsidP="00B953E4">
      <w:pPr>
        <w:pStyle w:val="BodyText"/>
        <w:ind w:left="2430"/>
        <w:jc w:val="center"/>
        <w:rPr>
          <w:rFonts w:ascii="Kokila" w:hAnsi="Kokila" w:cs="Kokila"/>
          <w:b/>
          <w:color w:val="231F20"/>
          <w:spacing w:val="22"/>
          <w:sz w:val="28"/>
          <w:szCs w:val="28"/>
        </w:rPr>
      </w:pPr>
      <w:r>
        <w:rPr>
          <w:rFonts w:ascii="Kokila" w:hAnsi="Kokila" w:cs="Kokila"/>
          <w:caps/>
          <w:sz w:val="28"/>
          <w:szCs w:val="28"/>
          <w:lang w:bidi="hi-IN"/>
        </w:rPr>
        <w:t xml:space="preserve">    </w:t>
      </w:r>
      <w:r w:rsidR="008D0FBB" w:rsidRPr="00F5481D">
        <w:rPr>
          <w:rFonts w:ascii="Kokila" w:hAnsi="Kokila" w:cs="Kokila"/>
          <w:caps/>
          <w:sz w:val="28"/>
          <w:szCs w:val="28"/>
          <w:cs/>
          <w:lang w:bidi="hi-IN"/>
        </w:rPr>
        <w:t>मानक भवन</w:t>
      </w:r>
      <w:r w:rsidR="008D0FBB" w:rsidRPr="00F5481D">
        <w:rPr>
          <w:rFonts w:ascii="Kokila" w:hAnsi="Kokila" w:cs="Kokila"/>
          <w:caps/>
          <w:sz w:val="28"/>
          <w:szCs w:val="28"/>
        </w:rPr>
        <w:t xml:space="preserve">, 9 </w:t>
      </w:r>
      <w:r w:rsidR="008D0FBB" w:rsidRPr="00F5481D">
        <w:rPr>
          <w:rFonts w:ascii="Kokila" w:hAnsi="Kokila" w:cs="Kokila"/>
          <w:caps/>
          <w:sz w:val="28"/>
          <w:szCs w:val="28"/>
          <w:cs/>
          <w:lang w:bidi="hi-IN"/>
        </w:rPr>
        <w:t>बहादुर शाह ज़फर मार्ग</w:t>
      </w:r>
      <w:r w:rsidR="008D0FBB" w:rsidRPr="00F5481D">
        <w:rPr>
          <w:rFonts w:ascii="Kokila" w:hAnsi="Kokila" w:cs="Kokila"/>
          <w:caps/>
          <w:sz w:val="28"/>
          <w:szCs w:val="28"/>
        </w:rPr>
        <w:t xml:space="preserve">, </w:t>
      </w:r>
      <w:r w:rsidR="008D0FBB" w:rsidRPr="00F5481D">
        <w:rPr>
          <w:rFonts w:ascii="Kokila" w:hAnsi="Kokila" w:cs="Kokila"/>
          <w:caps/>
          <w:sz w:val="28"/>
          <w:szCs w:val="28"/>
          <w:cs/>
          <w:lang w:bidi="hi-IN"/>
        </w:rPr>
        <w:t>नई दिल्ली -</w:t>
      </w:r>
      <w:r w:rsidR="008D0FBB" w:rsidRPr="00F5481D">
        <w:rPr>
          <w:rFonts w:ascii="Kokila" w:hAnsi="Kokila" w:cs="Kokila"/>
          <w:caps/>
          <w:sz w:val="28"/>
          <w:szCs w:val="28"/>
          <w:rtl/>
        </w:rPr>
        <w:t xml:space="preserve"> </w:t>
      </w:r>
      <w:r w:rsidR="008D0FBB" w:rsidRPr="00F5481D">
        <w:rPr>
          <w:rFonts w:ascii="Kokila" w:hAnsi="Kokila" w:cs="Kokila"/>
          <w:caps/>
          <w:sz w:val="28"/>
          <w:szCs w:val="28"/>
        </w:rPr>
        <w:t>110002</w:t>
      </w:r>
    </w:p>
    <w:p w:rsidR="008D0FBB" w:rsidRPr="00F5481D" w:rsidRDefault="003E1735" w:rsidP="00B953E4">
      <w:pPr>
        <w:pStyle w:val="BodyText"/>
        <w:ind w:left="2430"/>
        <w:jc w:val="center"/>
        <w:rPr>
          <w:rFonts w:ascii="Arial" w:hAnsi="Arial" w:cs="Arial"/>
          <w:color w:val="231F20"/>
        </w:rPr>
      </w:pPr>
      <w:r>
        <w:rPr>
          <w:rFonts w:ascii="Arial" w:hAnsi="Arial" w:cs="Arial"/>
          <w:color w:val="231F20"/>
        </w:rPr>
        <w:t xml:space="preserve">           </w:t>
      </w:r>
      <w:r w:rsidR="008D0FBB" w:rsidRPr="00F5481D">
        <w:rPr>
          <w:rFonts w:ascii="Arial" w:hAnsi="Arial" w:cs="Arial"/>
          <w:color w:val="231F20"/>
        </w:rPr>
        <w:t>MANAK BHA</w:t>
      </w:r>
      <w:r w:rsidR="008D0FBB" w:rsidRPr="00F5481D">
        <w:rPr>
          <w:rFonts w:ascii="Arial" w:hAnsi="Arial" w:cs="Arial"/>
          <w:color w:val="231F20"/>
          <w:lang w:bidi="hi-IN"/>
        </w:rPr>
        <w:t>V</w:t>
      </w:r>
      <w:r w:rsidR="008D0FBB" w:rsidRPr="00F5481D">
        <w:rPr>
          <w:rFonts w:ascii="Arial" w:hAnsi="Arial" w:cs="Arial"/>
          <w:color w:val="231F20"/>
        </w:rPr>
        <w:t>AN, 9 BAHADUR SHAH ZAFAR MARG</w:t>
      </w:r>
    </w:p>
    <w:p w:rsidR="008D0FBB" w:rsidRPr="00F5481D" w:rsidRDefault="003E1735" w:rsidP="00B953E4">
      <w:pPr>
        <w:pStyle w:val="BodyText"/>
        <w:ind w:left="2430"/>
        <w:jc w:val="center"/>
        <w:rPr>
          <w:rFonts w:ascii="Arial" w:hAnsi="Arial" w:cs="Arial"/>
          <w:color w:val="231F20"/>
        </w:rPr>
      </w:pPr>
      <w:r>
        <w:rPr>
          <w:rFonts w:ascii="Arial" w:hAnsi="Arial" w:cs="Arial"/>
          <w:color w:val="231F20"/>
        </w:rPr>
        <w:t xml:space="preserve">  </w:t>
      </w:r>
      <w:r w:rsidR="008D0FBB" w:rsidRPr="00F5481D">
        <w:rPr>
          <w:rFonts w:ascii="Arial" w:hAnsi="Arial" w:cs="Arial"/>
          <w:color w:val="231F20"/>
        </w:rPr>
        <w:t>NEW DELHI - 110002</w:t>
      </w:r>
    </w:p>
    <w:p w:rsidR="008D0FBB" w:rsidRPr="00F5481D" w:rsidRDefault="00A64B1E" w:rsidP="00B953E4">
      <w:pPr>
        <w:pStyle w:val="BodyText"/>
        <w:ind w:left="2430"/>
        <w:jc w:val="center"/>
        <w:rPr>
          <w:rFonts w:ascii="Arial" w:hAnsi="Arial" w:cs="Arial"/>
          <w:sz w:val="20"/>
        </w:rPr>
      </w:pPr>
      <w:hyperlink r:id="rId10" w:history="1">
        <w:r w:rsidR="008D0FBB" w:rsidRPr="00F5481D">
          <w:rPr>
            <w:rFonts w:ascii="Arial" w:hAnsi="Arial" w:cs="Arial"/>
            <w:color w:val="0000FF"/>
            <w:u w:val="single"/>
          </w:rPr>
          <w:t>www.bis.gov.in</w:t>
        </w:r>
      </w:hyperlink>
      <w:r w:rsidR="008D0FBB" w:rsidRPr="00F5481D">
        <w:rPr>
          <w:rFonts w:ascii="Arial" w:hAnsi="Arial" w:cs="Arial"/>
          <w:sz w:val="20"/>
        </w:rPr>
        <w:t xml:space="preserve">     </w:t>
      </w:r>
      <w:hyperlink r:id="rId11" w:history="1">
        <w:r w:rsidR="008D0FBB" w:rsidRPr="00F5481D">
          <w:rPr>
            <w:rFonts w:ascii="Arial" w:hAnsi="Arial" w:cs="Arial"/>
            <w:color w:val="0000FF"/>
            <w:u w:val="single"/>
          </w:rPr>
          <w:t>www.standardsbis.in</w:t>
        </w:r>
      </w:hyperlink>
    </w:p>
    <w:p w:rsidR="008D0FBB" w:rsidRPr="00473F72" w:rsidRDefault="008D0FBB" w:rsidP="00B953E4">
      <w:pPr>
        <w:pStyle w:val="BodyText"/>
        <w:ind w:left="2430"/>
        <w:jc w:val="center"/>
      </w:pPr>
    </w:p>
    <w:p w:rsidR="008D0FBB" w:rsidRDefault="002656C8" w:rsidP="002656C8">
      <w:pPr>
        <w:pStyle w:val="BodyText"/>
        <w:ind w:left="2250"/>
        <w:rPr>
          <w:rFonts w:ascii="Arial" w:hAnsi="Arial" w:cs="Arial"/>
          <w:b/>
        </w:rPr>
      </w:pPr>
      <w:r>
        <w:rPr>
          <w:rFonts w:ascii="Arial" w:hAnsi="Arial" w:cs="Arial"/>
          <w:b/>
        </w:rPr>
        <w:t xml:space="preserve">     </w:t>
      </w:r>
      <w:r w:rsidR="00A00A03">
        <w:rPr>
          <w:rFonts w:ascii="Arial" w:hAnsi="Arial" w:cs="Arial"/>
          <w:b/>
        </w:rPr>
        <w:t>November 2024</w:t>
      </w:r>
      <w:r w:rsidR="008D0FBB" w:rsidRPr="00F5481D">
        <w:rPr>
          <w:rFonts w:ascii="Arial" w:hAnsi="Arial" w:cs="Arial"/>
          <w:b/>
        </w:rPr>
        <w:t xml:space="preserve">                  </w:t>
      </w:r>
      <w:r>
        <w:rPr>
          <w:rFonts w:ascii="Arial" w:hAnsi="Arial" w:cs="Arial"/>
          <w:b/>
        </w:rPr>
        <w:t xml:space="preserve">       </w:t>
      </w:r>
      <w:r w:rsidR="008D0FBB" w:rsidRPr="00F5481D">
        <w:rPr>
          <w:rFonts w:ascii="Arial" w:hAnsi="Arial" w:cs="Arial"/>
          <w:b/>
        </w:rPr>
        <w:t xml:space="preserve">                    </w:t>
      </w:r>
      <w:r w:rsidR="008D0FBB">
        <w:rPr>
          <w:rFonts w:ascii="Arial" w:hAnsi="Arial" w:cs="Arial"/>
          <w:b/>
        </w:rPr>
        <w:t>Price Group</w:t>
      </w:r>
    </w:p>
    <w:p w:rsidR="007179B0" w:rsidRDefault="007179B0" w:rsidP="007179B0">
      <w:pPr>
        <w:pStyle w:val="BodyText"/>
        <w:jc w:val="both"/>
      </w:pPr>
      <w:r w:rsidRPr="00634B49">
        <w:lastRenderedPageBreak/>
        <w:t>Rotating Machinery</w:t>
      </w:r>
      <w:r>
        <w:rPr>
          <w:rFonts w:ascii="Segoe UI" w:hAnsi="Segoe UI" w:cs="Segoe UI"/>
          <w:b/>
          <w:bCs/>
          <w:color w:val="000000"/>
          <w:shd w:val="clear" w:color="auto" w:fill="FFFFFF"/>
        </w:rPr>
        <w:t xml:space="preserve"> </w:t>
      </w:r>
      <w:r w:rsidRPr="009433F3">
        <w:t>Sectional Committee</w:t>
      </w:r>
      <w:r>
        <w:t>, ETD 15</w:t>
      </w:r>
      <w:r w:rsidRPr="009433F3">
        <w:t xml:space="preserve"> </w:t>
      </w:r>
    </w:p>
    <w:p w:rsidR="007179B0" w:rsidRDefault="007179B0" w:rsidP="007179B0">
      <w:pPr>
        <w:pStyle w:val="BodyText"/>
        <w:jc w:val="both"/>
      </w:pPr>
    </w:p>
    <w:p w:rsidR="00EF076A" w:rsidRDefault="00EF076A" w:rsidP="00EF076A">
      <w:pPr>
        <w:pStyle w:val="BodyText"/>
        <w:jc w:val="both"/>
      </w:pPr>
      <w:r w:rsidRPr="009433F3">
        <w:t>NATIONAL FOREWORD</w:t>
      </w:r>
    </w:p>
    <w:p w:rsidR="00EF076A" w:rsidRPr="009433F3" w:rsidRDefault="00EF076A" w:rsidP="00EF076A">
      <w:pPr>
        <w:pStyle w:val="BodyText"/>
        <w:jc w:val="both"/>
      </w:pPr>
    </w:p>
    <w:p w:rsidR="00EF076A" w:rsidRDefault="00EF076A" w:rsidP="00EF076A">
      <w:pPr>
        <w:pStyle w:val="BodyText"/>
        <w:jc w:val="both"/>
      </w:pPr>
      <w:r>
        <w:t>This Indian Standard</w:t>
      </w:r>
      <w:r w:rsidR="00B81B0D">
        <w:t xml:space="preserve"> (Part 18/Sec 41) </w:t>
      </w:r>
      <w:r w:rsidRPr="009433F3">
        <w:t xml:space="preserve">which is </w:t>
      </w:r>
      <w:r>
        <w:t xml:space="preserve">identical with </w:t>
      </w:r>
      <w:hyperlink r:id="rId12" w:history="1">
        <w:r w:rsidRPr="001D0CA9">
          <w:t xml:space="preserve"> IEC 60034-18-41:</w:t>
        </w:r>
        <w:r w:rsidR="00393E4E">
          <w:t xml:space="preserve"> </w:t>
        </w:r>
        <w:r w:rsidRPr="001D0CA9">
          <w:t>2014+AMD1:</w:t>
        </w:r>
        <w:r w:rsidR="00393E4E">
          <w:t xml:space="preserve"> </w:t>
        </w:r>
        <w:r w:rsidRPr="001D0CA9">
          <w:t>2019 CSV</w:t>
        </w:r>
        <w:r w:rsidRPr="0084333A">
          <w:t> </w:t>
        </w:r>
      </w:hyperlink>
      <w:r w:rsidRPr="003A4F6D">
        <w:t>‘Rotating electrical machines –</w:t>
      </w:r>
      <w:r w:rsidRPr="001D0CA9">
        <w:t>Part 18-41: Partial discharge free electrical insulation systems (Type I) used in rotating electrical machines fed from voltage converters – Qualification and quality control tests</w:t>
      </w:r>
      <w:r>
        <w:t xml:space="preserve"> </w:t>
      </w:r>
      <w:r w:rsidRPr="009433F3">
        <w:t xml:space="preserve">’ </w:t>
      </w:r>
      <w:r w:rsidR="00393E4E" w:rsidRPr="009433F3">
        <w:t xml:space="preserve">issued </w:t>
      </w:r>
      <w:r w:rsidRPr="009433F3">
        <w:t>by the International Elect</w:t>
      </w:r>
      <w:r>
        <w:t>rotechnical Commission (IEC)</w:t>
      </w:r>
      <w:r w:rsidR="00393E4E">
        <w:t xml:space="preserve"> </w:t>
      </w:r>
      <w:r>
        <w:t xml:space="preserve"> </w:t>
      </w:r>
      <w:r w:rsidR="00393E4E">
        <w:t>was</w:t>
      </w:r>
      <w:r>
        <w:t xml:space="preserve"> adopted</w:t>
      </w:r>
      <w:r w:rsidRPr="00C10AAF">
        <w:t xml:space="preserve"> </w:t>
      </w:r>
      <w:r>
        <w:t xml:space="preserve">by </w:t>
      </w:r>
      <w:r w:rsidRPr="001D0CA9">
        <w:t>the</w:t>
      </w:r>
      <w:r w:rsidRPr="009433F3">
        <w:t xml:space="preserve"> Bureau of Indian Standards on the recommendation of the </w:t>
      </w:r>
      <w:r w:rsidRPr="00634B49">
        <w:t>Rotating Machinery</w:t>
      </w:r>
      <w:r w:rsidRPr="001D0CA9">
        <w:t xml:space="preserve"> </w:t>
      </w:r>
      <w:r w:rsidRPr="009433F3">
        <w:t xml:space="preserve">Sectional Committee and approval of the Electrotechnical Division Council. </w:t>
      </w:r>
    </w:p>
    <w:p w:rsidR="00EF076A" w:rsidRDefault="00EF076A" w:rsidP="00EF076A">
      <w:pPr>
        <w:pStyle w:val="BodyText"/>
        <w:jc w:val="both"/>
      </w:pPr>
    </w:p>
    <w:p w:rsidR="00B81B0D" w:rsidRDefault="00B81B0D" w:rsidP="00B81B0D">
      <w:pPr>
        <w:pStyle w:val="BodyText"/>
        <w:jc w:val="both"/>
      </w:pPr>
      <w:r w:rsidRPr="002656C8">
        <w:t xml:space="preserve">IS 15999 </w:t>
      </w:r>
      <w:r>
        <w:t xml:space="preserve">(Part </w:t>
      </w:r>
      <w:r w:rsidRPr="002656C8">
        <w:t>18</w:t>
      </w:r>
      <w:r>
        <w:t xml:space="preserve">/Sec 41) </w:t>
      </w:r>
      <w:r w:rsidRPr="000A670B">
        <w:t xml:space="preserve">was originally published in </w:t>
      </w:r>
      <w:r>
        <w:t>2018</w:t>
      </w:r>
      <w:r w:rsidRPr="000A670B">
        <w:t>.</w:t>
      </w:r>
      <w:r>
        <w:t xml:space="preserve"> </w:t>
      </w:r>
      <w:r w:rsidRPr="000A670B">
        <w:t xml:space="preserve">This </w:t>
      </w:r>
      <w:r>
        <w:t>publication</w:t>
      </w:r>
      <w:r w:rsidRPr="000A670B">
        <w:t xml:space="preserve"> has been undertaken to align it with the latest</w:t>
      </w:r>
      <w:r>
        <w:t xml:space="preserve"> version of </w:t>
      </w:r>
      <w:r w:rsidRPr="001D0CA9">
        <w:t>IEC 60034-18-41:</w:t>
      </w:r>
      <w:r w:rsidR="00A8571B">
        <w:t xml:space="preserve"> </w:t>
      </w:r>
      <w:r w:rsidRPr="001D0CA9">
        <w:t>2014+AMD1:</w:t>
      </w:r>
      <w:r w:rsidR="00A8571B">
        <w:t xml:space="preserve"> </w:t>
      </w:r>
      <w:r w:rsidRPr="001D0CA9">
        <w:t>2019 CSV</w:t>
      </w:r>
      <w:r w:rsidRPr="000A670B">
        <w:t>.</w:t>
      </w:r>
      <w:r>
        <w:t xml:space="preserve"> This standard supersedes </w:t>
      </w:r>
      <w:r w:rsidRPr="002656C8">
        <w:t>IS 15999 (Part 18/Sec 4</w:t>
      </w:r>
      <w:r w:rsidR="00A8571B">
        <w:t>1</w:t>
      </w:r>
      <w:r w:rsidRPr="002656C8">
        <w:t>)</w:t>
      </w:r>
      <w:r>
        <w:t>: 201</w:t>
      </w:r>
      <w:r w:rsidR="00A8571B">
        <w:t>8</w:t>
      </w:r>
      <w:r>
        <w:t>.</w:t>
      </w:r>
    </w:p>
    <w:p w:rsidR="00B81B0D" w:rsidRDefault="00B81B0D" w:rsidP="00EF076A">
      <w:pPr>
        <w:pStyle w:val="BodyText"/>
        <w:jc w:val="both"/>
      </w:pPr>
    </w:p>
    <w:p w:rsidR="009E44EF" w:rsidRDefault="009E44EF" w:rsidP="009E44EF">
      <w:pPr>
        <w:adjustRightInd w:val="0"/>
        <w:jc w:val="both"/>
        <w:rPr>
          <w:sz w:val="24"/>
          <w:szCs w:val="24"/>
        </w:rPr>
      </w:pPr>
      <w:bookmarkStart w:id="0" w:name="This_standard_(Part_3/Sec_3)_covers_the_"/>
      <w:bookmarkStart w:id="1" w:name="The_text_of_the_IEC_Standard_has_been_ap"/>
      <w:bookmarkEnd w:id="0"/>
      <w:bookmarkEnd w:id="1"/>
      <w:r w:rsidRPr="004306D1">
        <w:rPr>
          <w:sz w:val="24"/>
          <w:szCs w:val="24"/>
        </w:rPr>
        <w:t>This standard is published in various parts. Other parts in this series are:</w:t>
      </w:r>
    </w:p>
    <w:p w:rsidR="009E44EF" w:rsidRDefault="009E44EF" w:rsidP="009E44EF">
      <w:pPr>
        <w:adjustRightInd w:val="0"/>
        <w:jc w:val="both"/>
        <w:rPr>
          <w:sz w:val="24"/>
          <w:szCs w:val="24"/>
        </w:rPr>
      </w:pPr>
    </w:p>
    <w:tbl>
      <w:tblPr>
        <w:tblStyle w:val="TableGrid"/>
        <w:tblW w:w="90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40"/>
        <w:gridCol w:w="7398"/>
      </w:tblGrid>
      <w:tr w:rsidR="009E44EF" w:rsidRPr="002B0FC2" w:rsidTr="000E4C7B">
        <w:trPr>
          <w:jc w:val="center"/>
        </w:trPr>
        <w:tc>
          <w:tcPr>
            <w:tcW w:w="1640" w:type="dxa"/>
          </w:tcPr>
          <w:p w:rsidR="009E44EF" w:rsidRPr="002B0FC2" w:rsidRDefault="009E44EF" w:rsidP="000E4C7B">
            <w:pPr>
              <w:pStyle w:val="BodyText"/>
              <w:jc w:val="both"/>
            </w:pPr>
            <w:r w:rsidRPr="009C794B">
              <w:t xml:space="preserve">Part </w:t>
            </w:r>
            <w:r>
              <w:t>5</w:t>
            </w:r>
          </w:p>
        </w:tc>
        <w:tc>
          <w:tcPr>
            <w:tcW w:w="7398" w:type="dxa"/>
          </w:tcPr>
          <w:p w:rsidR="009E44EF" w:rsidRPr="002B0FC2" w:rsidRDefault="009E44EF" w:rsidP="000E4C7B">
            <w:pPr>
              <w:pStyle w:val="BodyText"/>
              <w:jc w:val="both"/>
            </w:pPr>
            <w:r w:rsidRPr="006521CF">
              <w:t>Degrees of protection provided by the integral design of rotating electrical machines (IP Code) - Classification</w:t>
            </w:r>
          </w:p>
        </w:tc>
      </w:tr>
      <w:tr w:rsidR="009E44EF" w:rsidRPr="002B0FC2" w:rsidTr="000E4C7B">
        <w:trPr>
          <w:jc w:val="center"/>
        </w:trPr>
        <w:tc>
          <w:tcPr>
            <w:tcW w:w="1640" w:type="dxa"/>
          </w:tcPr>
          <w:p w:rsidR="009E44EF" w:rsidRPr="002B0FC2" w:rsidRDefault="009E44EF" w:rsidP="000E4C7B">
            <w:pPr>
              <w:pStyle w:val="BodyText"/>
              <w:jc w:val="both"/>
            </w:pPr>
            <w:r w:rsidRPr="006521CF">
              <w:t>Part 8</w:t>
            </w:r>
          </w:p>
        </w:tc>
        <w:tc>
          <w:tcPr>
            <w:tcW w:w="7398" w:type="dxa"/>
          </w:tcPr>
          <w:p w:rsidR="009E44EF" w:rsidRPr="006521CF" w:rsidRDefault="009E44EF" w:rsidP="000E4C7B">
            <w:pPr>
              <w:pStyle w:val="BodyText"/>
              <w:jc w:val="both"/>
            </w:pPr>
            <w:r w:rsidRPr="006521CF">
              <w:t>Terminal markings and direction of rotation </w:t>
            </w:r>
          </w:p>
        </w:tc>
      </w:tr>
      <w:tr w:rsidR="009E44EF" w:rsidRPr="002B0FC2" w:rsidTr="000E4C7B">
        <w:trPr>
          <w:trHeight w:val="513"/>
          <w:jc w:val="center"/>
        </w:trPr>
        <w:tc>
          <w:tcPr>
            <w:tcW w:w="1640" w:type="dxa"/>
          </w:tcPr>
          <w:p w:rsidR="009E44EF" w:rsidRDefault="009E44EF" w:rsidP="000E4C7B">
            <w:pPr>
              <w:pStyle w:val="BodyText"/>
              <w:jc w:val="both"/>
            </w:pPr>
            <w:r w:rsidRPr="006521CF">
              <w:t xml:space="preserve">Part 27 </w:t>
            </w:r>
            <w:r>
              <w:t xml:space="preserve">      </w:t>
            </w:r>
          </w:p>
          <w:p w:rsidR="009E44EF" w:rsidRPr="006521CF" w:rsidRDefault="009E44EF" w:rsidP="000E4C7B">
            <w:pPr>
              <w:pStyle w:val="BodyText"/>
              <w:jc w:val="both"/>
            </w:pPr>
            <w:r>
              <w:t xml:space="preserve">      </w:t>
            </w:r>
            <w:r w:rsidRPr="006521CF">
              <w:t>Section 4</w:t>
            </w:r>
          </w:p>
        </w:tc>
        <w:tc>
          <w:tcPr>
            <w:tcW w:w="7398" w:type="dxa"/>
          </w:tcPr>
          <w:p w:rsidR="009E44EF" w:rsidRPr="006521CF" w:rsidRDefault="009E44EF" w:rsidP="000E4C7B">
            <w:pPr>
              <w:pStyle w:val="BodyText"/>
              <w:jc w:val="both"/>
            </w:pPr>
            <w:r w:rsidRPr="006521CF">
              <w:t>Winding insulation of rotating electrical machines Section 4 Measurement of insulation resistance and polarization index</w:t>
            </w:r>
          </w:p>
        </w:tc>
      </w:tr>
    </w:tbl>
    <w:p w:rsidR="009E44EF" w:rsidRDefault="009E44EF" w:rsidP="00EF076A">
      <w:pPr>
        <w:pStyle w:val="BodyText"/>
        <w:jc w:val="both"/>
      </w:pPr>
    </w:p>
    <w:p w:rsidR="00EF076A" w:rsidRPr="009433F3" w:rsidRDefault="00EF076A" w:rsidP="00EF076A">
      <w:pPr>
        <w:pStyle w:val="BodyText"/>
        <w:jc w:val="both"/>
      </w:pPr>
      <w:r w:rsidRPr="009433F3">
        <w:t>The text of the IEC Standard has been approved as suitable for publication as an Indian Standard without deviations. Certain conventions are, however, not identical to those used in Indian Standards. Attention is particularly drawn to the following:</w:t>
      </w:r>
    </w:p>
    <w:p w:rsidR="00EF076A" w:rsidRPr="009433F3" w:rsidRDefault="00EF076A" w:rsidP="00EF076A">
      <w:pPr>
        <w:pStyle w:val="BodyText"/>
        <w:numPr>
          <w:ilvl w:val="0"/>
          <w:numId w:val="7"/>
        </w:numPr>
        <w:spacing w:before="269"/>
        <w:ind w:left="990"/>
        <w:jc w:val="both"/>
      </w:pPr>
      <w:r w:rsidRPr="009433F3">
        <w:t>Wherever the words ‘International Standard’ appears referring to this standard, they should be read as ‘Indian Standard’.</w:t>
      </w:r>
    </w:p>
    <w:p w:rsidR="00EF076A" w:rsidRPr="009433F3" w:rsidRDefault="00EF076A" w:rsidP="00EF076A">
      <w:pPr>
        <w:pStyle w:val="BodyText"/>
        <w:numPr>
          <w:ilvl w:val="0"/>
          <w:numId w:val="7"/>
        </w:numPr>
        <w:spacing w:before="269"/>
        <w:ind w:left="990"/>
        <w:jc w:val="both"/>
      </w:pPr>
      <w:r w:rsidRPr="009433F3">
        <w:t>Comma (,) has been used as a decimal marker, while in Indian Standards the current practice is to use a point (.) as the decimal marker.</w:t>
      </w:r>
    </w:p>
    <w:p w:rsidR="00EF076A" w:rsidRDefault="00EF076A" w:rsidP="00EF076A">
      <w:pPr>
        <w:pStyle w:val="BodyText"/>
        <w:spacing w:before="269"/>
        <w:jc w:val="both"/>
      </w:pPr>
      <w:r w:rsidRPr="009433F3">
        <w:t>In this adopted standard, reference appears to International Standards for which Indian Standards also exists. The corresponding Indian Standards, which are to be substituted, are listed below along with their degree of equivalence for the editions indicated:</w:t>
      </w:r>
    </w:p>
    <w:p w:rsidR="00EF076A" w:rsidRPr="009433F3" w:rsidRDefault="00EF076A" w:rsidP="00EF076A">
      <w:pPr>
        <w:pStyle w:val="BodyText"/>
        <w:jc w:val="both"/>
      </w:pPr>
    </w:p>
    <w:tbl>
      <w:tblPr>
        <w:tblW w:w="93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325"/>
        <w:gridCol w:w="3240"/>
        <w:gridCol w:w="2790"/>
      </w:tblGrid>
      <w:tr w:rsidR="00EF076A" w:rsidRPr="009433F3" w:rsidTr="00312D95">
        <w:trPr>
          <w:trHeight w:val="465"/>
        </w:trPr>
        <w:tc>
          <w:tcPr>
            <w:tcW w:w="3325" w:type="dxa"/>
            <w:shd w:val="clear" w:color="auto" w:fill="auto"/>
          </w:tcPr>
          <w:p w:rsidR="00EF076A" w:rsidRPr="00E1746A" w:rsidRDefault="00EF076A" w:rsidP="000E4C7B">
            <w:pPr>
              <w:pStyle w:val="BodyText"/>
              <w:ind w:left="90" w:right="90"/>
              <w:jc w:val="center"/>
              <w:rPr>
                <w:i/>
                <w:iCs/>
              </w:rPr>
            </w:pPr>
            <w:r w:rsidRPr="00E1746A">
              <w:rPr>
                <w:i/>
                <w:iCs/>
              </w:rPr>
              <w:t>International Standard</w:t>
            </w:r>
          </w:p>
        </w:tc>
        <w:tc>
          <w:tcPr>
            <w:tcW w:w="3240" w:type="dxa"/>
            <w:shd w:val="clear" w:color="auto" w:fill="auto"/>
          </w:tcPr>
          <w:p w:rsidR="00EF076A" w:rsidRPr="00E1746A" w:rsidRDefault="00EF076A" w:rsidP="00312D95">
            <w:pPr>
              <w:pStyle w:val="BodyText"/>
              <w:ind w:left="90" w:right="180"/>
              <w:jc w:val="center"/>
              <w:rPr>
                <w:i/>
                <w:iCs/>
              </w:rPr>
            </w:pPr>
            <w:r w:rsidRPr="00E1746A">
              <w:rPr>
                <w:i/>
                <w:iCs/>
              </w:rPr>
              <w:t>Corresponding Indian Standard</w:t>
            </w:r>
          </w:p>
        </w:tc>
        <w:tc>
          <w:tcPr>
            <w:tcW w:w="2790" w:type="dxa"/>
            <w:shd w:val="clear" w:color="auto" w:fill="auto"/>
          </w:tcPr>
          <w:p w:rsidR="00EF076A" w:rsidRPr="00E1746A" w:rsidRDefault="00EF076A" w:rsidP="000E4C7B">
            <w:pPr>
              <w:pStyle w:val="BodyText"/>
              <w:ind w:left="90" w:right="50"/>
              <w:jc w:val="center"/>
              <w:rPr>
                <w:i/>
                <w:iCs/>
              </w:rPr>
            </w:pPr>
            <w:r w:rsidRPr="00E1746A">
              <w:rPr>
                <w:i/>
                <w:iCs/>
              </w:rPr>
              <w:t>Degree of Equivalence</w:t>
            </w:r>
          </w:p>
        </w:tc>
      </w:tr>
      <w:tr w:rsidR="00EF076A" w:rsidRPr="009433F3" w:rsidTr="00312D95">
        <w:trPr>
          <w:trHeight w:val="465"/>
        </w:trPr>
        <w:tc>
          <w:tcPr>
            <w:tcW w:w="3325" w:type="dxa"/>
            <w:shd w:val="clear" w:color="auto" w:fill="auto"/>
          </w:tcPr>
          <w:p w:rsidR="00EF076A" w:rsidRPr="00083334" w:rsidRDefault="00EF076A" w:rsidP="00312D95">
            <w:pPr>
              <w:pStyle w:val="BodyText"/>
              <w:ind w:left="90" w:right="90"/>
              <w:jc w:val="both"/>
            </w:pPr>
            <w:r w:rsidRPr="00083334">
              <w:t>IEC/TS 60034-18-42, Rotating electrical machines – Part 18-42: Qualification and acceptance</w:t>
            </w:r>
          </w:p>
          <w:p w:rsidR="00EF076A" w:rsidRDefault="00EF076A" w:rsidP="00312D95">
            <w:pPr>
              <w:pStyle w:val="BodyText"/>
              <w:ind w:left="90" w:right="90"/>
              <w:jc w:val="both"/>
            </w:pPr>
            <w:r w:rsidRPr="00083334">
              <w:t>tests for partial discharge resistant electrical insulation systems (Type II) used in rotating</w:t>
            </w:r>
            <w:r>
              <w:t xml:space="preserve"> </w:t>
            </w:r>
            <w:r w:rsidRPr="00083334">
              <w:t>electrical machines fed from voltage converters</w:t>
            </w:r>
            <w:r w:rsidRPr="00312D95">
              <w:t>1</w:t>
            </w:r>
          </w:p>
        </w:tc>
        <w:tc>
          <w:tcPr>
            <w:tcW w:w="3240" w:type="dxa"/>
            <w:shd w:val="clear" w:color="auto" w:fill="auto"/>
          </w:tcPr>
          <w:p w:rsidR="00EF076A" w:rsidRPr="00083334" w:rsidRDefault="00EF076A" w:rsidP="00312D95">
            <w:pPr>
              <w:pStyle w:val="BodyText"/>
              <w:ind w:left="90" w:right="90"/>
              <w:jc w:val="both"/>
            </w:pPr>
            <w:r w:rsidRPr="00083334">
              <w:t>IS 15999 (Part 18/Sec 42) : 2018</w:t>
            </w:r>
            <w:r w:rsidR="00312D95">
              <w:t xml:space="preserve">/ </w:t>
            </w:r>
            <w:r w:rsidRPr="00083334">
              <w:t>IEC 60034-18-4</w:t>
            </w:r>
            <w:r>
              <w:t>2</w:t>
            </w:r>
            <w:r w:rsidRPr="00083334">
              <w:t xml:space="preserve"> : </w:t>
            </w:r>
            <w:r>
              <w:t>2008</w:t>
            </w:r>
            <w:r w:rsidRPr="00083334">
              <w:t xml:space="preserve"> Rotating </w:t>
            </w:r>
            <w:r w:rsidR="00312D95" w:rsidRPr="00083334">
              <w:t>electrical machines</w:t>
            </w:r>
            <w:r w:rsidR="00312D95">
              <w:t xml:space="preserve"> </w:t>
            </w:r>
            <w:r w:rsidRPr="00083334">
              <w:t xml:space="preserve">Part 18 Qualification and </w:t>
            </w:r>
            <w:r w:rsidR="00312D95" w:rsidRPr="00083334">
              <w:t>acceptance tests for partial discharge</w:t>
            </w:r>
            <w:r w:rsidR="00312D95">
              <w:t xml:space="preserve"> </w:t>
            </w:r>
            <w:r w:rsidR="00312D95" w:rsidRPr="00083334">
              <w:t xml:space="preserve">resistant electrical insulation systems </w:t>
            </w:r>
            <w:r w:rsidRPr="00083334">
              <w:t>(Type II)</w:t>
            </w:r>
            <w:r>
              <w:t xml:space="preserve"> </w:t>
            </w:r>
            <w:r w:rsidRPr="00083334">
              <w:t>Section 42 Used in rotating electrical machines fed from voltage</w:t>
            </w:r>
            <w:r w:rsidR="00312D95">
              <w:t xml:space="preserve"> </w:t>
            </w:r>
            <w:r w:rsidRPr="00083334">
              <w:t>converters</w:t>
            </w:r>
          </w:p>
          <w:p w:rsidR="00EF076A" w:rsidRDefault="00EF076A" w:rsidP="00312D95">
            <w:pPr>
              <w:pStyle w:val="BodyText"/>
              <w:ind w:left="90" w:right="90"/>
              <w:jc w:val="both"/>
            </w:pPr>
          </w:p>
        </w:tc>
        <w:tc>
          <w:tcPr>
            <w:tcW w:w="2790" w:type="dxa"/>
            <w:shd w:val="clear" w:color="auto" w:fill="auto"/>
          </w:tcPr>
          <w:p w:rsidR="00EF076A" w:rsidRDefault="00EF076A" w:rsidP="000E4C7B">
            <w:pPr>
              <w:jc w:val="center"/>
            </w:pPr>
            <w:r w:rsidRPr="007E031C">
              <w:t>Identical</w:t>
            </w:r>
          </w:p>
        </w:tc>
      </w:tr>
      <w:tr w:rsidR="00EF076A" w:rsidRPr="009433F3" w:rsidTr="00312D95">
        <w:trPr>
          <w:trHeight w:val="465"/>
        </w:trPr>
        <w:tc>
          <w:tcPr>
            <w:tcW w:w="3325" w:type="dxa"/>
            <w:shd w:val="clear" w:color="auto" w:fill="auto"/>
          </w:tcPr>
          <w:p w:rsidR="00EF076A" w:rsidRPr="00474977" w:rsidRDefault="00EF076A" w:rsidP="00312D95">
            <w:pPr>
              <w:pStyle w:val="BodyText"/>
              <w:ind w:left="90" w:right="90"/>
              <w:jc w:val="both"/>
            </w:pPr>
            <w:r w:rsidRPr="00474977">
              <w:t xml:space="preserve">IEC 60172, Test procedure for the determination of the temperature index of </w:t>
            </w:r>
            <w:proofErr w:type="spellStart"/>
            <w:r w:rsidRPr="00474977">
              <w:t>enamelled</w:t>
            </w:r>
            <w:proofErr w:type="spellEnd"/>
          </w:p>
          <w:p w:rsidR="00EF076A" w:rsidRPr="00083334" w:rsidRDefault="00EF076A" w:rsidP="00312D95">
            <w:pPr>
              <w:pStyle w:val="BodyText"/>
              <w:ind w:left="90" w:right="90"/>
              <w:jc w:val="both"/>
            </w:pPr>
            <w:r w:rsidRPr="00474977">
              <w:t>winding wires</w:t>
            </w:r>
          </w:p>
        </w:tc>
        <w:tc>
          <w:tcPr>
            <w:tcW w:w="3240" w:type="dxa"/>
            <w:shd w:val="clear" w:color="auto" w:fill="auto"/>
          </w:tcPr>
          <w:p w:rsidR="00EF076A" w:rsidRPr="00083334" w:rsidRDefault="00062655" w:rsidP="00062655">
            <w:pPr>
              <w:pStyle w:val="BodyText"/>
              <w:ind w:left="90" w:right="90"/>
              <w:jc w:val="both"/>
            </w:pPr>
            <w:r w:rsidRPr="00062655">
              <w:t>IS 5825 : 2024</w:t>
            </w:r>
            <w:r>
              <w:t xml:space="preserve">/ </w:t>
            </w:r>
            <w:r w:rsidRPr="00062655">
              <w:t>IEC 60172:</w:t>
            </w:r>
            <w:r>
              <w:t xml:space="preserve"> </w:t>
            </w:r>
            <w:r w:rsidRPr="00062655">
              <w:t xml:space="preserve">2020 Test procedure for the determination of the temperature index of </w:t>
            </w:r>
            <w:proofErr w:type="spellStart"/>
            <w:r w:rsidRPr="00062655">
              <w:t>enamelled</w:t>
            </w:r>
            <w:proofErr w:type="spellEnd"/>
            <w:r w:rsidRPr="00062655">
              <w:t xml:space="preserve"> and tape wrapped winding wires (</w:t>
            </w:r>
            <w:r w:rsidRPr="00062655">
              <w:rPr>
                <w:i/>
                <w:iCs/>
              </w:rPr>
              <w:t>third revision</w:t>
            </w:r>
            <w:r w:rsidRPr="00062655">
              <w:t>)</w:t>
            </w:r>
          </w:p>
        </w:tc>
        <w:tc>
          <w:tcPr>
            <w:tcW w:w="2790" w:type="dxa"/>
            <w:shd w:val="clear" w:color="auto" w:fill="auto"/>
          </w:tcPr>
          <w:p w:rsidR="00EF076A" w:rsidRDefault="00EF076A" w:rsidP="000E4C7B">
            <w:pPr>
              <w:jc w:val="center"/>
            </w:pPr>
            <w:r w:rsidRPr="007E031C">
              <w:t>Identical</w:t>
            </w:r>
          </w:p>
        </w:tc>
      </w:tr>
    </w:tbl>
    <w:p w:rsidR="00EF076A" w:rsidRDefault="00EF076A" w:rsidP="00EF076A">
      <w:pPr>
        <w:pStyle w:val="BodyText"/>
        <w:spacing w:line="244" w:lineRule="auto"/>
        <w:ind w:right="20"/>
        <w:jc w:val="both"/>
      </w:pPr>
    </w:p>
    <w:p w:rsidR="00EF076A" w:rsidRPr="00BC5997" w:rsidRDefault="00EF076A" w:rsidP="00312D95">
      <w:pPr>
        <w:pStyle w:val="BodyText"/>
        <w:spacing w:line="244" w:lineRule="auto"/>
        <w:ind w:right="20"/>
        <w:jc w:val="both"/>
      </w:pPr>
      <w:r w:rsidRPr="00BC5997">
        <w:t>The technical committee has reviewed the provisions of the following international standards referred in this adopted standard and decided that they are acceptable for use in conjunction with this standard.</w:t>
      </w:r>
    </w:p>
    <w:p w:rsidR="00EF076A" w:rsidRDefault="00EF076A" w:rsidP="00EF076A">
      <w:pPr>
        <w:pStyle w:val="BodyText"/>
        <w:spacing w:line="244" w:lineRule="auto"/>
        <w:ind w:right="20"/>
        <w:jc w:val="both"/>
      </w:pPr>
    </w:p>
    <w:tbl>
      <w:tblPr>
        <w:tblStyle w:val="TableGrid"/>
        <w:tblW w:w="0" w:type="auto"/>
        <w:tblInd w:w="108" w:type="dxa"/>
        <w:tblLook w:val="04A0"/>
      </w:tblPr>
      <w:tblGrid>
        <w:gridCol w:w="2431"/>
        <w:gridCol w:w="6929"/>
      </w:tblGrid>
      <w:tr w:rsidR="00EF076A" w:rsidTr="00312D95">
        <w:tc>
          <w:tcPr>
            <w:tcW w:w="2431" w:type="dxa"/>
          </w:tcPr>
          <w:p w:rsidR="00EF076A" w:rsidRDefault="00EF076A" w:rsidP="000E4C7B">
            <w:pPr>
              <w:pStyle w:val="BodyText"/>
              <w:spacing w:line="244" w:lineRule="auto"/>
              <w:ind w:right="20"/>
              <w:jc w:val="both"/>
            </w:pPr>
            <w:r w:rsidRPr="00E1746A">
              <w:rPr>
                <w:i/>
                <w:iCs/>
              </w:rPr>
              <w:t>International Standard</w:t>
            </w:r>
          </w:p>
        </w:tc>
        <w:tc>
          <w:tcPr>
            <w:tcW w:w="6929" w:type="dxa"/>
          </w:tcPr>
          <w:p w:rsidR="00EF076A" w:rsidRPr="00A208D7" w:rsidRDefault="00EF076A" w:rsidP="000E4C7B">
            <w:pPr>
              <w:pStyle w:val="BodyText"/>
              <w:spacing w:line="244" w:lineRule="auto"/>
              <w:ind w:right="20"/>
              <w:jc w:val="center"/>
              <w:rPr>
                <w:i/>
                <w:iCs/>
              </w:rPr>
            </w:pPr>
            <w:r w:rsidRPr="00A208D7">
              <w:rPr>
                <w:i/>
                <w:iCs/>
              </w:rPr>
              <w:t>Title</w:t>
            </w:r>
          </w:p>
        </w:tc>
      </w:tr>
      <w:tr w:rsidR="00EF076A" w:rsidTr="00312D95">
        <w:tc>
          <w:tcPr>
            <w:tcW w:w="2431" w:type="dxa"/>
          </w:tcPr>
          <w:p w:rsidR="00EF076A" w:rsidRPr="00474977" w:rsidRDefault="00EF076A" w:rsidP="000E4C7B">
            <w:pPr>
              <w:pStyle w:val="BodyText"/>
              <w:spacing w:line="244" w:lineRule="auto"/>
              <w:ind w:right="20"/>
              <w:jc w:val="both"/>
            </w:pPr>
            <w:r>
              <w:t>IEC 60034-18-1:2010</w:t>
            </w:r>
          </w:p>
        </w:tc>
        <w:tc>
          <w:tcPr>
            <w:tcW w:w="6929" w:type="dxa"/>
          </w:tcPr>
          <w:p w:rsidR="00EF076A" w:rsidRPr="00474977" w:rsidRDefault="00EF076A" w:rsidP="000E4C7B">
            <w:pPr>
              <w:pStyle w:val="BodyText"/>
              <w:spacing w:line="244" w:lineRule="auto"/>
              <w:ind w:right="20"/>
              <w:jc w:val="both"/>
            </w:pPr>
            <w:r>
              <w:t>Rotating electrical machines – Part 18-1: Functional evaluation of insulation systems. General guidelines</w:t>
            </w:r>
          </w:p>
        </w:tc>
      </w:tr>
      <w:tr w:rsidR="00EF076A" w:rsidTr="00312D95">
        <w:tc>
          <w:tcPr>
            <w:tcW w:w="2431" w:type="dxa"/>
          </w:tcPr>
          <w:p w:rsidR="00EF076A" w:rsidRDefault="00EF076A" w:rsidP="000E4C7B">
            <w:pPr>
              <w:pStyle w:val="BodyText"/>
              <w:spacing w:line="244" w:lineRule="auto"/>
              <w:ind w:right="20"/>
              <w:jc w:val="both"/>
            </w:pPr>
            <w:r w:rsidRPr="00474977">
              <w:t>IEC 60034-18-21</w:t>
            </w:r>
          </w:p>
        </w:tc>
        <w:tc>
          <w:tcPr>
            <w:tcW w:w="6929" w:type="dxa"/>
          </w:tcPr>
          <w:p w:rsidR="00EF076A" w:rsidRPr="00474977" w:rsidRDefault="00EF076A" w:rsidP="000E4C7B">
            <w:pPr>
              <w:widowControl/>
              <w:adjustRightInd w:val="0"/>
              <w:rPr>
                <w:sz w:val="24"/>
                <w:szCs w:val="24"/>
              </w:rPr>
            </w:pPr>
            <w:r w:rsidRPr="00474977">
              <w:rPr>
                <w:sz w:val="24"/>
                <w:szCs w:val="24"/>
              </w:rPr>
              <w:t>Rotating electrical machines – Part 18-21: Functional evaluation of</w:t>
            </w:r>
          </w:p>
          <w:p w:rsidR="00EF076A" w:rsidRPr="00623282" w:rsidRDefault="00EF076A" w:rsidP="000E4C7B">
            <w:pPr>
              <w:widowControl/>
              <w:adjustRightInd w:val="0"/>
              <w:rPr>
                <w:sz w:val="24"/>
                <w:szCs w:val="24"/>
              </w:rPr>
            </w:pPr>
            <w:r w:rsidRPr="00474977">
              <w:rPr>
                <w:sz w:val="24"/>
                <w:szCs w:val="24"/>
              </w:rPr>
              <w:t>insulation systems – Test procedures for wire-wound windings – Thermal evaluation and</w:t>
            </w:r>
            <w:r>
              <w:rPr>
                <w:sz w:val="24"/>
                <w:szCs w:val="24"/>
              </w:rPr>
              <w:t xml:space="preserve"> </w:t>
            </w:r>
            <w:r w:rsidRPr="00474977">
              <w:rPr>
                <w:sz w:val="24"/>
                <w:szCs w:val="24"/>
              </w:rPr>
              <w:t>classification</w:t>
            </w:r>
          </w:p>
        </w:tc>
      </w:tr>
      <w:tr w:rsidR="00EF076A" w:rsidTr="00312D95">
        <w:tc>
          <w:tcPr>
            <w:tcW w:w="2431" w:type="dxa"/>
          </w:tcPr>
          <w:p w:rsidR="00EF076A" w:rsidRDefault="00EF076A" w:rsidP="000E4C7B">
            <w:pPr>
              <w:pStyle w:val="BodyText"/>
              <w:spacing w:line="244" w:lineRule="auto"/>
              <w:ind w:right="20"/>
              <w:jc w:val="both"/>
            </w:pPr>
            <w:r>
              <w:t>IEC 60034-18-31</w:t>
            </w:r>
          </w:p>
        </w:tc>
        <w:tc>
          <w:tcPr>
            <w:tcW w:w="6929" w:type="dxa"/>
          </w:tcPr>
          <w:p w:rsidR="00EF076A" w:rsidRDefault="00EF076A" w:rsidP="000E4C7B">
            <w:pPr>
              <w:pStyle w:val="BodyText"/>
              <w:spacing w:line="244" w:lineRule="auto"/>
              <w:ind w:right="20"/>
              <w:jc w:val="both"/>
            </w:pPr>
            <w:r>
              <w:t>Rotating electrical machines – Part 18-31: Functional evaluation of insulation systems – Test procedures for form-wound windings – Thermal evaluation and classification of insulation systems used in rotating machines</w:t>
            </w:r>
          </w:p>
        </w:tc>
      </w:tr>
      <w:tr w:rsidR="00A80190" w:rsidTr="00312D95">
        <w:tc>
          <w:tcPr>
            <w:tcW w:w="2431" w:type="dxa"/>
          </w:tcPr>
          <w:p w:rsidR="00A80190" w:rsidRPr="00623282" w:rsidRDefault="00A80190" w:rsidP="00B91571">
            <w:pPr>
              <w:pStyle w:val="BodyText"/>
              <w:spacing w:line="244" w:lineRule="auto"/>
              <w:ind w:right="20"/>
            </w:pPr>
            <w:r>
              <w:t xml:space="preserve">IEC/TS </w:t>
            </w:r>
            <w:r w:rsidRPr="00474977">
              <w:t>60034-25:2007</w:t>
            </w:r>
          </w:p>
        </w:tc>
        <w:tc>
          <w:tcPr>
            <w:tcW w:w="6929" w:type="dxa"/>
          </w:tcPr>
          <w:p w:rsidR="00A80190" w:rsidRPr="00474977" w:rsidRDefault="00A80190" w:rsidP="000E4C7B">
            <w:pPr>
              <w:pStyle w:val="BodyText"/>
              <w:spacing w:line="244" w:lineRule="auto"/>
              <w:ind w:right="20"/>
              <w:jc w:val="both"/>
            </w:pPr>
            <w:r w:rsidRPr="00474977">
              <w:t>Rotating electrical machines – Part 25: Guidance for the design and</w:t>
            </w:r>
          </w:p>
          <w:p w:rsidR="00A80190" w:rsidRPr="00623282" w:rsidRDefault="00A80190" w:rsidP="000E4C7B">
            <w:pPr>
              <w:pStyle w:val="BodyText"/>
              <w:spacing w:line="244" w:lineRule="auto"/>
              <w:ind w:right="20"/>
              <w:jc w:val="both"/>
            </w:pPr>
            <w:r w:rsidRPr="00474977">
              <w:t>performance of a.c. motors specifically designed for converter supply</w:t>
            </w:r>
          </w:p>
        </w:tc>
      </w:tr>
      <w:tr w:rsidR="00A80190" w:rsidTr="00312D95">
        <w:tc>
          <w:tcPr>
            <w:tcW w:w="2431" w:type="dxa"/>
          </w:tcPr>
          <w:p w:rsidR="00A80190" w:rsidRDefault="00A80190" w:rsidP="000E4C7B">
            <w:pPr>
              <w:pStyle w:val="BodyText"/>
              <w:spacing w:line="244" w:lineRule="auto"/>
              <w:ind w:right="20"/>
              <w:jc w:val="both"/>
            </w:pPr>
            <w:r>
              <w:t>IEC TS 60034-27</w:t>
            </w:r>
          </w:p>
        </w:tc>
        <w:tc>
          <w:tcPr>
            <w:tcW w:w="6929" w:type="dxa"/>
          </w:tcPr>
          <w:p w:rsidR="00A80190" w:rsidRDefault="00A80190" w:rsidP="000E4C7B">
            <w:pPr>
              <w:pStyle w:val="BodyText"/>
              <w:spacing w:line="244" w:lineRule="auto"/>
              <w:ind w:right="20"/>
              <w:jc w:val="both"/>
            </w:pPr>
            <w:r>
              <w:t>Rotating electrical machines – Part 27: Off-line partial discharge measurements on the stator winding insulation of rotating electrical machines</w:t>
            </w:r>
          </w:p>
        </w:tc>
      </w:tr>
      <w:tr w:rsidR="00A80190" w:rsidTr="00312D95">
        <w:tc>
          <w:tcPr>
            <w:tcW w:w="2431" w:type="dxa"/>
          </w:tcPr>
          <w:p w:rsidR="00A80190" w:rsidRDefault="00A80190" w:rsidP="000E4C7B">
            <w:pPr>
              <w:pStyle w:val="BodyText"/>
              <w:spacing w:line="244" w:lineRule="auto"/>
              <w:ind w:right="20"/>
              <w:jc w:val="both"/>
            </w:pPr>
            <w:r w:rsidRPr="00623282">
              <w:t>IEC 60664-1</w:t>
            </w:r>
          </w:p>
        </w:tc>
        <w:tc>
          <w:tcPr>
            <w:tcW w:w="6929" w:type="dxa"/>
          </w:tcPr>
          <w:p w:rsidR="00A80190" w:rsidRPr="003037AA" w:rsidRDefault="00A80190" w:rsidP="000E4C7B">
            <w:pPr>
              <w:pStyle w:val="BodyText"/>
              <w:spacing w:line="244" w:lineRule="auto"/>
              <w:ind w:right="20"/>
              <w:jc w:val="both"/>
            </w:pPr>
            <w:r w:rsidRPr="003037AA">
              <w:t>Insulation co-ordination for equipment within low voltage systems – Part 1:</w:t>
            </w:r>
          </w:p>
          <w:p w:rsidR="00A80190" w:rsidRDefault="00A80190" w:rsidP="000E4C7B">
            <w:pPr>
              <w:pStyle w:val="BodyText"/>
              <w:spacing w:line="244" w:lineRule="auto"/>
              <w:ind w:right="20"/>
              <w:jc w:val="both"/>
            </w:pPr>
            <w:r w:rsidRPr="003037AA">
              <w:t>Principles, requirements and tests</w:t>
            </w:r>
          </w:p>
        </w:tc>
      </w:tr>
      <w:tr w:rsidR="00A80190" w:rsidTr="00312D95">
        <w:tc>
          <w:tcPr>
            <w:tcW w:w="2431" w:type="dxa"/>
          </w:tcPr>
          <w:p w:rsidR="00A80190" w:rsidRPr="003037AA" w:rsidRDefault="00A80190" w:rsidP="000E4C7B">
            <w:pPr>
              <w:pStyle w:val="BodyText"/>
              <w:spacing w:line="244" w:lineRule="auto"/>
              <w:ind w:right="20"/>
              <w:jc w:val="both"/>
            </w:pPr>
            <w:r w:rsidRPr="003037AA">
              <w:t>IEC/TS 61800-8</w:t>
            </w:r>
          </w:p>
        </w:tc>
        <w:tc>
          <w:tcPr>
            <w:tcW w:w="6929" w:type="dxa"/>
          </w:tcPr>
          <w:p w:rsidR="00A80190" w:rsidRPr="003037AA" w:rsidRDefault="00A80190" w:rsidP="000E4C7B">
            <w:pPr>
              <w:widowControl/>
              <w:adjustRightInd w:val="0"/>
              <w:rPr>
                <w:sz w:val="24"/>
                <w:szCs w:val="24"/>
              </w:rPr>
            </w:pPr>
            <w:r w:rsidRPr="003037AA">
              <w:rPr>
                <w:sz w:val="24"/>
                <w:szCs w:val="24"/>
              </w:rPr>
              <w:t>Adjustable speed electrical power drive systems – Part 8: Specification of</w:t>
            </w:r>
          </w:p>
          <w:p w:rsidR="00A80190" w:rsidRPr="003037AA" w:rsidRDefault="00A80190" w:rsidP="000E4C7B">
            <w:pPr>
              <w:pStyle w:val="BodyText"/>
              <w:spacing w:line="244" w:lineRule="auto"/>
              <w:ind w:right="20"/>
              <w:jc w:val="both"/>
            </w:pPr>
            <w:r w:rsidRPr="003037AA">
              <w:t>voltage on the power interface</w:t>
            </w:r>
          </w:p>
        </w:tc>
      </w:tr>
      <w:tr w:rsidR="00A80190" w:rsidTr="00312D95">
        <w:tc>
          <w:tcPr>
            <w:tcW w:w="2431" w:type="dxa"/>
          </w:tcPr>
          <w:p w:rsidR="00A80190" w:rsidRPr="003037AA" w:rsidRDefault="00A80190" w:rsidP="000E4C7B">
            <w:pPr>
              <w:pStyle w:val="BodyText"/>
              <w:spacing w:line="244" w:lineRule="auto"/>
              <w:ind w:right="20"/>
              <w:jc w:val="both"/>
            </w:pPr>
            <w:r w:rsidRPr="003037AA">
              <w:t>IEC/TS 61934</w:t>
            </w:r>
          </w:p>
        </w:tc>
        <w:tc>
          <w:tcPr>
            <w:tcW w:w="6929" w:type="dxa"/>
          </w:tcPr>
          <w:p w:rsidR="00A80190" w:rsidRPr="003037AA" w:rsidRDefault="00A80190" w:rsidP="000E4C7B">
            <w:pPr>
              <w:widowControl/>
              <w:adjustRightInd w:val="0"/>
              <w:rPr>
                <w:sz w:val="24"/>
                <w:szCs w:val="24"/>
              </w:rPr>
            </w:pPr>
            <w:r w:rsidRPr="003037AA">
              <w:rPr>
                <w:sz w:val="24"/>
                <w:szCs w:val="24"/>
              </w:rPr>
              <w:t>Electrical insulating materials and systems – Electrical measurement of partial</w:t>
            </w:r>
            <w:r>
              <w:rPr>
                <w:sz w:val="24"/>
                <w:szCs w:val="24"/>
              </w:rPr>
              <w:t xml:space="preserve"> </w:t>
            </w:r>
            <w:r w:rsidRPr="003037AA">
              <w:rPr>
                <w:sz w:val="24"/>
                <w:szCs w:val="24"/>
              </w:rPr>
              <w:t>discharges (PD) under short rise time and repetitive voltage impulses</w:t>
            </w:r>
          </w:p>
        </w:tc>
      </w:tr>
    </w:tbl>
    <w:p w:rsidR="00EF076A" w:rsidRDefault="00EF076A" w:rsidP="00EF076A">
      <w:pPr>
        <w:pStyle w:val="BodyText"/>
        <w:spacing w:line="244" w:lineRule="auto"/>
        <w:ind w:right="20"/>
        <w:jc w:val="both"/>
      </w:pPr>
    </w:p>
    <w:p w:rsidR="00EF076A" w:rsidRDefault="00EF076A" w:rsidP="00EF076A">
      <w:pPr>
        <w:pStyle w:val="BodyText"/>
        <w:spacing w:line="244" w:lineRule="auto"/>
        <w:ind w:right="20"/>
        <w:jc w:val="both"/>
      </w:pPr>
      <w:r w:rsidRPr="004F7BF9">
        <w:t>Only English language text has been retained while adopting it in this Indian Standard, and as such the</w:t>
      </w:r>
      <w:r>
        <w:t xml:space="preserve"> </w:t>
      </w:r>
      <w:r w:rsidRPr="004F7BF9">
        <w:t>page numbers given here are not the same as in the International Standard.</w:t>
      </w:r>
    </w:p>
    <w:p w:rsidR="00EF076A" w:rsidRDefault="00EF076A" w:rsidP="00EF076A">
      <w:pPr>
        <w:pStyle w:val="BodyText"/>
        <w:spacing w:line="244" w:lineRule="auto"/>
        <w:ind w:right="20"/>
        <w:jc w:val="both"/>
      </w:pPr>
    </w:p>
    <w:p w:rsidR="00EF076A" w:rsidRDefault="00EF076A" w:rsidP="00EF076A">
      <w:pPr>
        <w:pStyle w:val="BodyText"/>
        <w:spacing w:line="244" w:lineRule="auto"/>
        <w:ind w:right="20"/>
        <w:jc w:val="both"/>
      </w:pPr>
      <w:r>
        <w:t>For the purpose of deciding whether a particular requirement of this standard is complied with, the final value, observed or calculated expressing the result of a test, shall be rounded off in accordance with IS 2: 2022 ‘Rules for rounding off numerical values (</w:t>
      </w:r>
      <w:r w:rsidRPr="00F9533F">
        <w:rPr>
          <w:i/>
          <w:iCs/>
        </w:rPr>
        <w:t>second</w:t>
      </w:r>
      <w:r w:rsidRPr="00AC0112">
        <w:rPr>
          <w:i/>
          <w:iCs/>
        </w:rPr>
        <w:t xml:space="preserve"> revision</w:t>
      </w:r>
      <w:r>
        <w:t>)’. The number of significant places retained in the rounded off value should be the same as that of the specified value in this standard.</w:t>
      </w:r>
    </w:p>
    <w:p w:rsidR="00EC3F66" w:rsidRDefault="00EC3F66" w:rsidP="00EF076A">
      <w:pPr>
        <w:pStyle w:val="BodyText"/>
        <w:jc w:val="both"/>
      </w:pPr>
    </w:p>
    <w:sectPr w:rsidR="00EC3F66" w:rsidSect="007761D1">
      <w:headerReference w:type="default" r:id="rId13"/>
      <w:pgSz w:w="12240" w:h="15840"/>
      <w:pgMar w:top="1440" w:right="1440" w:bottom="1440" w:left="1440" w:header="722"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02A" w:rsidRDefault="0094302A">
      <w:r>
        <w:separator/>
      </w:r>
    </w:p>
  </w:endnote>
  <w:endnote w:type="continuationSeparator" w:id="0">
    <w:p w:rsidR="0094302A" w:rsidRDefault="009430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02A" w:rsidRDefault="0094302A">
      <w:r>
        <w:separator/>
      </w:r>
    </w:p>
  </w:footnote>
  <w:footnote w:type="continuationSeparator" w:id="0">
    <w:p w:rsidR="0094302A" w:rsidRDefault="009430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D6E" w:rsidRDefault="00A64B1E">
    <w:pPr>
      <w:pStyle w:val="BodyText"/>
      <w:spacing w:line="14" w:lineRule="auto"/>
      <w:rPr>
        <w:sz w:val="20"/>
      </w:rPr>
    </w:pPr>
    <w:r w:rsidRPr="00A64B1E">
      <w:pict>
        <v:shapetype id="_x0000_t202" coordsize="21600,21600" o:spt="202" path="m,l,21600r21600,l21600,xe">
          <v:stroke joinstyle="miter"/>
          <v:path gradientshapeok="t" o:connecttype="rect"/>
        </v:shapetype>
        <v:shape id="_x0000_s2049" type="#_x0000_t202" style="position:absolute;margin-left:458.2pt;margin-top:35.6pt;width:103.55pt;height:29.05pt;z-index:-251658752;mso-position-horizontal-relative:page;mso-position-vertical-relative:page" filled="f" stroked="f">
          <v:textbox style="mso-next-textbox:#_x0000_s2049" inset="0,0,0,0">
            <w:txbxContent>
              <w:p w:rsidR="00FB2D6E" w:rsidRPr="00990A17" w:rsidRDefault="00FB2D6E" w:rsidP="00990A17"/>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6B7B"/>
    <w:multiLevelType w:val="hybridMultilevel"/>
    <w:tmpl w:val="34F294E2"/>
    <w:lvl w:ilvl="0" w:tplc="0DEC98BA">
      <w:start w:val="1"/>
      <w:numFmt w:val="lowerLetter"/>
      <w:lvlText w:val="%1)"/>
      <w:lvlJc w:val="left"/>
      <w:pPr>
        <w:ind w:left="12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8DDEF4F8">
      <w:numFmt w:val="bullet"/>
      <w:lvlText w:val="•"/>
      <w:lvlJc w:val="left"/>
      <w:pPr>
        <w:ind w:left="2202" w:hanging="360"/>
      </w:pPr>
      <w:rPr>
        <w:rFonts w:hint="default"/>
        <w:lang w:val="en-US" w:eastAsia="en-US" w:bidi="ar-SA"/>
      </w:rPr>
    </w:lvl>
    <w:lvl w:ilvl="2" w:tplc="6568A862">
      <w:numFmt w:val="bullet"/>
      <w:lvlText w:val="•"/>
      <w:lvlJc w:val="left"/>
      <w:pPr>
        <w:ind w:left="3204" w:hanging="360"/>
      </w:pPr>
      <w:rPr>
        <w:rFonts w:hint="default"/>
        <w:lang w:val="en-US" w:eastAsia="en-US" w:bidi="ar-SA"/>
      </w:rPr>
    </w:lvl>
    <w:lvl w:ilvl="3" w:tplc="5CE67B0A">
      <w:numFmt w:val="bullet"/>
      <w:lvlText w:val="•"/>
      <w:lvlJc w:val="left"/>
      <w:pPr>
        <w:ind w:left="4206" w:hanging="360"/>
      </w:pPr>
      <w:rPr>
        <w:rFonts w:hint="default"/>
        <w:lang w:val="en-US" w:eastAsia="en-US" w:bidi="ar-SA"/>
      </w:rPr>
    </w:lvl>
    <w:lvl w:ilvl="4" w:tplc="D4685B6E">
      <w:numFmt w:val="bullet"/>
      <w:lvlText w:val="•"/>
      <w:lvlJc w:val="left"/>
      <w:pPr>
        <w:ind w:left="5208" w:hanging="360"/>
      </w:pPr>
      <w:rPr>
        <w:rFonts w:hint="default"/>
        <w:lang w:val="en-US" w:eastAsia="en-US" w:bidi="ar-SA"/>
      </w:rPr>
    </w:lvl>
    <w:lvl w:ilvl="5" w:tplc="0B9A58FA">
      <w:numFmt w:val="bullet"/>
      <w:lvlText w:val="•"/>
      <w:lvlJc w:val="left"/>
      <w:pPr>
        <w:ind w:left="6210" w:hanging="360"/>
      </w:pPr>
      <w:rPr>
        <w:rFonts w:hint="default"/>
        <w:lang w:val="en-US" w:eastAsia="en-US" w:bidi="ar-SA"/>
      </w:rPr>
    </w:lvl>
    <w:lvl w:ilvl="6" w:tplc="FDC4CF9A">
      <w:numFmt w:val="bullet"/>
      <w:lvlText w:val="•"/>
      <w:lvlJc w:val="left"/>
      <w:pPr>
        <w:ind w:left="7212" w:hanging="360"/>
      </w:pPr>
      <w:rPr>
        <w:rFonts w:hint="default"/>
        <w:lang w:val="en-US" w:eastAsia="en-US" w:bidi="ar-SA"/>
      </w:rPr>
    </w:lvl>
    <w:lvl w:ilvl="7" w:tplc="D4847062">
      <w:numFmt w:val="bullet"/>
      <w:lvlText w:val="•"/>
      <w:lvlJc w:val="left"/>
      <w:pPr>
        <w:ind w:left="8214" w:hanging="360"/>
      </w:pPr>
      <w:rPr>
        <w:rFonts w:hint="default"/>
        <w:lang w:val="en-US" w:eastAsia="en-US" w:bidi="ar-SA"/>
      </w:rPr>
    </w:lvl>
    <w:lvl w:ilvl="8" w:tplc="D9C61324">
      <w:numFmt w:val="bullet"/>
      <w:lvlText w:val="•"/>
      <w:lvlJc w:val="left"/>
      <w:pPr>
        <w:ind w:left="9216" w:hanging="360"/>
      </w:pPr>
      <w:rPr>
        <w:rFonts w:hint="default"/>
        <w:lang w:val="en-US" w:eastAsia="en-US" w:bidi="ar-SA"/>
      </w:rPr>
    </w:lvl>
  </w:abstractNum>
  <w:abstractNum w:abstractNumId="1">
    <w:nsid w:val="21B66DA1"/>
    <w:multiLevelType w:val="hybridMultilevel"/>
    <w:tmpl w:val="316676DE"/>
    <w:lvl w:ilvl="0" w:tplc="9CAAADD6">
      <w:start w:val="1"/>
      <w:numFmt w:val="lowerLetter"/>
      <w:lvlText w:val="%1)"/>
      <w:lvlJc w:val="left"/>
      <w:pPr>
        <w:ind w:left="1221" w:hanging="360"/>
      </w:pPr>
      <w:rPr>
        <w:rFonts w:ascii="Times New Roman" w:eastAsia="Times New Roman" w:hAnsi="Times New Roman" w:cs="Times New Roman" w:hint="default"/>
        <w:spacing w:val="-2"/>
        <w:w w:val="99"/>
        <w:sz w:val="24"/>
        <w:szCs w:val="24"/>
        <w:lang w:val="en-US" w:eastAsia="en-US" w:bidi="ar-SA"/>
      </w:rPr>
    </w:lvl>
    <w:lvl w:ilvl="1" w:tplc="85D4A9E0">
      <w:numFmt w:val="bullet"/>
      <w:lvlText w:val="•"/>
      <w:lvlJc w:val="left"/>
      <w:pPr>
        <w:ind w:left="2108" w:hanging="360"/>
      </w:pPr>
      <w:rPr>
        <w:rFonts w:hint="default"/>
        <w:lang w:val="en-US" w:eastAsia="en-US" w:bidi="ar-SA"/>
      </w:rPr>
    </w:lvl>
    <w:lvl w:ilvl="2" w:tplc="AC109094">
      <w:numFmt w:val="bullet"/>
      <w:lvlText w:val="•"/>
      <w:lvlJc w:val="left"/>
      <w:pPr>
        <w:ind w:left="2996" w:hanging="360"/>
      </w:pPr>
      <w:rPr>
        <w:rFonts w:hint="default"/>
        <w:lang w:val="en-US" w:eastAsia="en-US" w:bidi="ar-SA"/>
      </w:rPr>
    </w:lvl>
    <w:lvl w:ilvl="3" w:tplc="F0C43802">
      <w:numFmt w:val="bullet"/>
      <w:lvlText w:val="•"/>
      <w:lvlJc w:val="left"/>
      <w:pPr>
        <w:ind w:left="3884" w:hanging="360"/>
      </w:pPr>
      <w:rPr>
        <w:rFonts w:hint="default"/>
        <w:lang w:val="en-US" w:eastAsia="en-US" w:bidi="ar-SA"/>
      </w:rPr>
    </w:lvl>
    <w:lvl w:ilvl="4" w:tplc="16365C24">
      <w:numFmt w:val="bullet"/>
      <w:lvlText w:val="•"/>
      <w:lvlJc w:val="left"/>
      <w:pPr>
        <w:ind w:left="4772" w:hanging="360"/>
      </w:pPr>
      <w:rPr>
        <w:rFonts w:hint="default"/>
        <w:lang w:val="en-US" w:eastAsia="en-US" w:bidi="ar-SA"/>
      </w:rPr>
    </w:lvl>
    <w:lvl w:ilvl="5" w:tplc="29EE0BAE">
      <w:numFmt w:val="bullet"/>
      <w:lvlText w:val="•"/>
      <w:lvlJc w:val="left"/>
      <w:pPr>
        <w:ind w:left="5660" w:hanging="360"/>
      </w:pPr>
      <w:rPr>
        <w:rFonts w:hint="default"/>
        <w:lang w:val="en-US" w:eastAsia="en-US" w:bidi="ar-SA"/>
      </w:rPr>
    </w:lvl>
    <w:lvl w:ilvl="6" w:tplc="4CCA43EA">
      <w:numFmt w:val="bullet"/>
      <w:lvlText w:val="•"/>
      <w:lvlJc w:val="left"/>
      <w:pPr>
        <w:ind w:left="6548" w:hanging="360"/>
      </w:pPr>
      <w:rPr>
        <w:rFonts w:hint="default"/>
        <w:lang w:val="en-US" w:eastAsia="en-US" w:bidi="ar-SA"/>
      </w:rPr>
    </w:lvl>
    <w:lvl w:ilvl="7" w:tplc="CD84E536">
      <w:numFmt w:val="bullet"/>
      <w:lvlText w:val="•"/>
      <w:lvlJc w:val="left"/>
      <w:pPr>
        <w:ind w:left="7436" w:hanging="360"/>
      </w:pPr>
      <w:rPr>
        <w:rFonts w:hint="default"/>
        <w:lang w:val="en-US" w:eastAsia="en-US" w:bidi="ar-SA"/>
      </w:rPr>
    </w:lvl>
    <w:lvl w:ilvl="8" w:tplc="F5405778">
      <w:numFmt w:val="bullet"/>
      <w:lvlText w:val="•"/>
      <w:lvlJc w:val="left"/>
      <w:pPr>
        <w:ind w:left="8324" w:hanging="360"/>
      </w:pPr>
      <w:rPr>
        <w:rFonts w:hint="default"/>
        <w:lang w:val="en-US" w:eastAsia="en-US" w:bidi="ar-SA"/>
      </w:rPr>
    </w:lvl>
  </w:abstractNum>
  <w:abstractNum w:abstractNumId="2">
    <w:nsid w:val="397C0AF0"/>
    <w:multiLevelType w:val="multilevel"/>
    <w:tmpl w:val="4C06114A"/>
    <w:lvl w:ilvl="0">
      <w:start w:val="1"/>
      <w:numFmt w:val="decimal"/>
      <w:lvlText w:val="%1"/>
      <w:lvlJc w:val="left"/>
      <w:pPr>
        <w:ind w:left="662" w:hanging="183"/>
      </w:pPr>
      <w:rPr>
        <w:rFonts w:ascii="Times New Roman" w:eastAsia="Times New Roman" w:hAnsi="Times New Roman" w:cs="Times New Roman" w:hint="default"/>
        <w:b/>
        <w:bCs/>
        <w:i w:val="0"/>
        <w:iCs w:val="0"/>
        <w:spacing w:val="0"/>
        <w:w w:val="100"/>
        <w:sz w:val="20"/>
        <w:szCs w:val="20"/>
        <w:lang w:val="en-US" w:eastAsia="en-US" w:bidi="ar-SA"/>
      </w:rPr>
    </w:lvl>
    <w:lvl w:ilvl="1">
      <w:start w:val="1"/>
      <w:numFmt w:val="decimal"/>
      <w:lvlText w:val="%1.%2"/>
      <w:lvlJc w:val="left"/>
      <w:pPr>
        <w:ind w:left="480" w:hanging="366"/>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decimal"/>
      <w:lvlText w:val="%1.%2.%3"/>
      <w:lvlJc w:val="left"/>
      <w:pPr>
        <w:ind w:left="480" w:hanging="584"/>
      </w:pPr>
      <w:rPr>
        <w:rFonts w:ascii="Times New Roman" w:eastAsia="Times New Roman" w:hAnsi="Times New Roman" w:cs="Times New Roman" w:hint="default"/>
        <w:b/>
        <w:bCs/>
        <w:i w:val="0"/>
        <w:iCs w:val="0"/>
        <w:spacing w:val="-3"/>
        <w:w w:val="100"/>
        <w:sz w:val="24"/>
        <w:szCs w:val="24"/>
        <w:lang w:val="en-US" w:eastAsia="en-US" w:bidi="ar-SA"/>
      </w:rPr>
    </w:lvl>
    <w:lvl w:ilvl="3">
      <w:start w:val="1"/>
      <w:numFmt w:val="decimal"/>
      <w:lvlText w:val="%4-"/>
      <w:lvlJc w:val="left"/>
      <w:pPr>
        <w:ind w:left="1418" w:hanging="219"/>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1420" w:hanging="219"/>
      </w:pPr>
      <w:rPr>
        <w:rFonts w:hint="default"/>
        <w:lang w:val="en-US" w:eastAsia="en-US" w:bidi="ar-SA"/>
      </w:rPr>
    </w:lvl>
    <w:lvl w:ilvl="5">
      <w:numFmt w:val="bullet"/>
      <w:lvlText w:val="•"/>
      <w:lvlJc w:val="left"/>
      <w:pPr>
        <w:ind w:left="3053" w:hanging="219"/>
      </w:pPr>
      <w:rPr>
        <w:rFonts w:hint="default"/>
        <w:lang w:val="en-US" w:eastAsia="en-US" w:bidi="ar-SA"/>
      </w:rPr>
    </w:lvl>
    <w:lvl w:ilvl="6">
      <w:numFmt w:val="bullet"/>
      <w:lvlText w:val="•"/>
      <w:lvlJc w:val="left"/>
      <w:pPr>
        <w:ind w:left="4686" w:hanging="219"/>
      </w:pPr>
      <w:rPr>
        <w:rFonts w:hint="default"/>
        <w:lang w:val="en-US" w:eastAsia="en-US" w:bidi="ar-SA"/>
      </w:rPr>
    </w:lvl>
    <w:lvl w:ilvl="7">
      <w:numFmt w:val="bullet"/>
      <w:lvlText w:val="•"/>
      <w:lvlJc w:val="left"/>
      <w:pPr>
        <w:ind w:left="6320" w:hanging="219"/>
      </w:pPr>
      <w:rPr>
        <w:rFonts w:hint="default"/>
        <w:lang w:val="en-US" w:eastAsia="en-US" w:bidi="ar-SA"/>
      </w:rPr>
    </w:lvl>
    <w:lvl w:ilvl="8">
      <w:numFmt w:val="bullet"/>
      <w:lvlText w:val="•"/>
      <w:lvlJc w:val="left"/>
      <w:pPr>
        <w:ind w:left="7953" w:hanging="219"/>
      </w:pPr>
      <w:rPr>
        <w:rFonts w:hint="default"/>
        <w:lang w:val="en-US" w:eastAsia="en-US" w:bidi="ar-SA"/>
      </w:rPr>
    </w:lvl>
  </w:abstractNum>
  <w:abstractNum w:abstractNumId="3">
    <w:nsid w:val="47BD61E1"/>
    <w:multiLevelType w:val="multilevel"/>
    <w:tmpl w:val="E4448E70"/>
    <w:lvl w:ilvl="0">
      <w:start w:val="1"/>
      <w:numFmt w:val="decimal"/>
      <w:lvlText w:val="%1"/>
      <w:lvlJc w:val="left"/>
      <w:pPr>
        <w:ind w:left="662" w:hanging="183"/>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480" w:hanging="366"/>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decimal"/>
      <w:lvlText w:val="%1.%2.%3"/>
      <w:lvlJc w:val="left"/>
      <w:pPr>
        <w:ind w:left="480" w:hanging="584"/>
      </w:pPr>
      <w:rPr>
        <w:rFonts w:ascii="Times New Roman" w:eastAsia="Times New Roman" w:hAnsi="Times New Roman" w:cs="Times New Roman" w:hint="default"/>
        <w:b/>
        <w:bCs/>
        <w:i w:val="0"/>
        <w:iCs w:val="0"/>
        <w:spacing w:val="-3"/>
        <w:w w:val="100"/>
        <w:sz w:val="24"/>
        <w:szCs w:val="24"/>
        <w:lang w:val="en-US" w:eastAsia="en-US" w:bidi="ar-SA"/>
      </w:rPr>
    </w:lvl>
    <w:lvl w:ilvl="3">
      <w:start w:val="1"/>
      <w:numFmt w:val="decimal"/>
      <w:lvlText w:val="%4-"/>
      <w:lvlJc w:val="left"/>
      <w:pPr>
        <w:ind w:left="1418" w:hanging="219"/>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1420" w:hanging="219"/>
      </w:pPr>
      <w:rPr>
        <w:rFonts w:hint="default"/>
        <w:lang w:val="en-US" w:eastAsia="en-US" w:bidi="ar-SA"/>
      </w:rPr>
    </w:lvl>
    <w:lvl w:ilvl="5">
      <w:numFmt w:val="bullet"/>
      <w:lvlText w:val="•"/>
      <w:lvlJc w:val="left"/>
      <w:pPr>
        <w:ind w:left="3053" w:hanging="219"/>
      </w:pPr>
      <w:rPr>
        <w:rFonts w:hint="default"/>
        <w:lang w:val="en-US" w:eastAsia="en-US" w:bidi="ar-SA"/>
      </w:rPr>
    </w:lvl>
    <w:lvl w:ilvl="6">
      <w:numFmt w:val="bullet"/>
      <w:lvlText w:val="•"/>
      <w:lvlJc w:val="left"/>
      <w:pPr>
        <w:ind w:left="4686" w:hanging="219"/>
      </w:pPr>
      <w:rPr>
        <w:rFonts w:hint="default"/>
        <w:lang w:val="en-US" w:eastAsia="en-US" w:bidi="ar-SA"/>
      </w:rPr>
    </w:lvl>
    <w:lvl w:ilvl="7">
      <w:numFmt w:val="bullet"/>
      <w:lvlText w:val="•"/>
      <w:lvlJc w:val="left"/>
      <w:pPr>
        <w:ind w:left="6320" w:hanging="219"/>
      </w:pPr>
      <w:rPr>
        <w:rFonts w:hint="default"/>
        <w:lang w:val="en-US" w:eastAsia="en-US" w:bidi="ar-SA"/>
      </w:rPr>
    </w:lvl>
    <w:lvl w:ilvl="8">
      <w:numFmt w:val="bullet"/>
      <w:lvlText w:val="•"/>
      <w:lvlJc w:val="left"/>
      <w:pPr>
        <w:ind w:left="7953" w:hanging="219"/>
      </w:pPr>
      <w:rPr>
        <w:rFonts w:hint="default"/>
        <w:lang w:val="en-US" w:eastAsia="en-US" w:bidi="ar-SA"/>
      </w:rPr>
    </w:lvl>
  </w:abstractNum>
  <w:abstractNum w:abstractNumId="4">
    <w:nsid w:val="5BB16274"/>
    <w:multiLevelType w:val="hybridMultilevel"/>
    <w:tmpl w:val="4050B3F0"/>
    <w:lvl w:ilvl="0" w:tplc="976EF8E0">
      <w:start w:val="1"/>
      <w:numFmt w:val="lowerLetter"/>
      <w:lvlText w:val="%1)"/>
      <w:lvlJc w:val="left"/>
      <w:pPr>
        <w:ind w:left="120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E62EFF0E">
      <w:start w:val="1"/>
      <w:numFmt w:val="decimal"/>
      <w:lvlText w:val="%2)"/>
      <w:lvlJc w:val="left"/>
      <w:pPr>
        <w:ind w:left="192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2" w:tplc="BD227944">
      <w:numFmt w:val="bullet"/>
      <w:lvlText w:val="•"/>
      <w:lvlJc w:val="left"/>
      <w:pPr>
        <w:ind w:left="2953" w:hanging="360"/>
      </w:pPr>
      <w:rPr>
        <w:rFonts w:hint="default"/>
        <w:lang w:val="en-US" w:eastAsia="en-US" w:bidi="ar-SA"/>
      </w:rPr>
    </w:lvl>
    <w:lvl w:ilvl="3" w:tplc="B420C4AE">
      <w:numFmt w:val="bullet"/>
      <w:lvlText w:val="•"/>
      <w:lvlJc w:val="left"/>
      <w:pPr>
        <w:ind w:left="3986" w:hanging="360"/>
      </w:pPr>
      <w:rPr>
        <w:rFonts w:hint="default"/>
        <w:lang w:val="en-US" w:eastAsia="en-US" w:bidi="ar-SA"/>
      </w:rPr>
    </w:lvl>
    <w:lvl w:ilvl="4" w:tplc="EE70007C">
      <w:numFmt w:val="bullet"/>
      <w:lvlText w:val="•"/>
      <w:lvlJc w:val="left"/>
      <w:pPr>
        <w:ind w:left="5020" w:hanging="360"/>
      </w:pPr>
      <w:rPr>
        <w:rFonts w:hint="default"/>
        <w:lang w:val="en-US" w:eastAsia="en-US" w:bidi="ar-SA"/>
      </w:rPr>
    </w:lvl>
    <w:lvl w:ilvl="5" w:tplc="D932D7E2">
      <w:numFmt w:val="bullet"/>
      <w:lvlText w:val="•"/>
      <w:lvlJc w:val="left"/>
      <w:pPr>
        <w:ind w:left="6053" w:hanging="360"/>
      </w:pPr>
      <w:rPr>
        <w:rFonts w:hint="default"/>
        <w:lang w:val="en-US" w:eastAsia="en-US" w:bidi="ar-SA"/>
      </w:rPr>
    </w:lvl>
    <w:lvl w:ilvl="6" w:tplc="8F74E65E">
      <w:numFmt w:val="bullet"/>
      <w:lvlText w:val="•"/>
      <w:lvlJc w:val="left"/>
      <w:pPr>
        <w:ind w:left="7086" w:hanging="360"/>
      </w:pPr>
      <w:rPr>
        <w:rFonts w:hint="default"/>
        <w:lang w:val="en-US" w:eastAsia="en-US" w:bidi="ar-SA"/>
      </w:rPr>
    </w:lvl>
    <w:lvl w:ilvl="7" w:tplc="646845E6">
      <w:numFmt w:val="bullet"/>
      <w:lvlText w:val="•"/>
      <w:lvlJc w:val="left"/>
      <w:pPr>
        <w:ind w:left="8120" w:hanging="360"/>
      </w:pPr>
      <w:rPr>
        <w:rFonts w:hint="default"/>
        <w:lang w:val="en-US" w:eastAsia="en-US" w:bidi="ar-SA"/>
      </w:rPr>
    </w:lvl>
    <w:lvl w:ilvl="8" w:tplc="02527EBC">
      <w:numFmt w:val="bullet"/>
      <w:lvlText w:val="•"/>
      <w:lvlJc w:val="left"/>
      <w:pPr>
        <w:ind w:left="9153" w:hanging="360"/>
      </w:pPr>
      <w:rPr>
        <w:rFonts w:hint="default"/>
        <w:lang w:val="en-US" w:eastAsia="en-US" w:bidi="ar-SA"/>
      </w:rPr>
    </w:lvl>
  </w:abstractNum>
  <w:abstractNum w:abstractNumId="5">
    <w:nsid w:val="5CCE1F76"/>
    <w:multiLevelType w:val="hybridMultilevel"/>
    <w:tmpl w:val="64AEF2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71284A"/>
    <w:multiLevelType w:val="multilevel"/>
    <w:tmpl w:val="F5729EFE"/>
    <w:lvl w:ilvl="0">
      <w:start w:val="1"/>
      <w:numFmt w:val="decimal"/>
      <w:lvlText w:val="%1."/>
      <w:lvlJc w:val="left"/>
      <w:pPr>
        <w:ind w:left="662" w:hanging="183"/>
      </w:pPr>
      <w:rPr>
        <w:rFonts w:ascii="Times New Roman" w:hAnsi="Times New Roman" w:hint="default"/>
        <w:b/>
        <w:bCs/>
        <w:i w:val="0"/>
        <w:iCs w:val="0"/>
        <w:spacing w:val="0"/>
        <w:w w:val="100"/>
        <w:sz w:val="20"/>
        <w:szCs w:val="16"/>
        <w:lang w:val="en-US" w:eastAsia="en-US" w:bidi="ar-SA"/>
      </w:rPr>
    </w:lvl>
    <w:lvl w:ilvl="1">
      <w:start w:val="1"/>
      <w:numFmt w:val="decimal"/>
      <w:lvlText w:val="%1.%2"/>
      <w:lvlJc w:val="left"/>
      <w:pPr>
        <w:ind w:left="480" w:hanging="366"/>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decimal"/>
      <w:lvlText w:val="%1.%2.%3"/>
      <w:lvlJc w:val="left"/>
      <w:pPr>
        <w:ind w:left="480" w:hanging="584"/>
      </w:pPr>
      <w:rPr>
        <w:rFonts w:ascii="Times New Roman" w:eastAsia="Times New Roman" w:hAnsi="Times New Roman" w:cs="Times New Roman" w:hint="default"/>
        <w:b/>
        <w:bCs/>
        <w:i w:val="0"/>
        <w:iCs w:val="0"/>
        <w:spacing w:val="-3"/>
        <w:w w:val="100"/>
        <w:sz w:val="20"/>
        <w:szCs w:val="20"/>
        <w:lang w:val="en-US" w:eastAsia="en-US" w:bidi="ar-SA"/>
      </w:rPr>
    </w:lvl>
    <w:lvl w:ilvl="3">
      <w:start w:val="1"/>
      <w:numFmt w:val="decimal"/>
      <w:lvlText w:val="%4-"/>
      <w:lvlJc w:val="left"/>
      <w:pPr>
        <w:ind w:left="1418" w:hanging="219"/>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1420" w:hanging="219"/>
      </w:pPr>
      <w:rPr>
        <w:rFonts w:hint="default"/>
        <w:lang w:val="en-US" w:eastAsia="en-US" w:bidi="ar-SA"/>
      </w:rPr>
    </w:lvl>
    <w:lvl w:ilvl="5">
      <w:numFmt w:val="bullet"/>
      <w:lvlText w:val="•"/>
      <w:lvlJc w:val="left"/>
      <w:pPr>
        <w:ind w:left="3053" w:hanging="219"/>
      </w:pPr>
      <w:rPr>
        <w:rFonts w:hint="default"/>
        <w:lang w:val="en-US" w:eastAsia="en-US" w:bidi="ar-SA"/>
      </w:rPr>
    </w:lvl>
    <w:lvl w:ilvl="6">
      <w:numFmt w:val="bullet"/>
      <w:lvlText w:val="•"/>
      <w:lvlJc w:val="left"/>
      <w:pPr>
        <w:ind w:left="4686" w:hanging="219"/>
      </w:pPr>
      <w:rPr>
        <w:rFonts w:hint="default"/>
        <w:lang w:val="en-US" w:eastAsia="en-US" w:bidi="ar-SA"/>
      </w:rPr>
    </w:lvl>
    <w:lvl w:ilvl="7">
      <w:numFmt w:val="bullet"/>
      <w:lvlText w:val="•"/>
      <w:lvlJc w:val="left"/>
      <w:pPr>
        <w:ind w:left="6320" w:hanging="219"/>
      </w:pPr>
      <w:rPr>
        <w:rFonts w:hint="default"/>
        <w:lang w:val="en-US" w:eastAsia="en-US" w:bidi="ar-SA"/>
      </w:rPr>
    </w:lvl>
    <w:lvl w:ilvl="8">
      <w:numFmt w:val="bullet"/>
      <w:lvlText w:val="•"/>
      <w:lvlJc w:val="left"/>
      <w:pPr>
        <w:ind w:left="7953" w:hanging="219"/>
      </w:pPr>
      <w:rPr>
        <w:rFonts w:hint="default"/>
        <w:lang w:val="en-US" w:eastAsia="en-US" w:bidi="ar-SA"/>
      </w:rPr>
    </w:lvl>
  </w:abstractNum>
  <w:num w:numId="1">
    <w:abstractNumId w:val="0"/>
  </w:num>
  <w:num w:numId="2">
    <w:abstractNumId w:val="4"/>
  </w:num>
  <w:num w:numId="3">
    <w:abstractNumId w:val="3"/>
  </w:num>
  <w:num w:numId="4">
    <w:abstractNumId w:val="6"/>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hdrShapeDefaults>
    <o:shapedefaults v:ext="edit" spidmax="24578"/>
    <o:shapelayout v:ext="edit">
      <o:idmap v:ext="edit" data="2"/>
    </o:shapelayout>
  </w:hdrShapeDefaults>
  <w:footnotePr>
    <w:footnote w:id="-1"/>
    <w:footnote w:id="0"/>
  </w:footnotePr>
  <w:endnotePr>
    <w:endnote w:id="-1"/>
    <w:endnote w:id="0"/>
  </w:endnotePr>
  <w:compat>
    <w:ulTrailSpace/>
    <w:shapeLayoutLikeWW8/>
  </w:compat>
  <w:rsids>
    <w:rsidRoot w:val="00F3384B"/>
    <w:rsid w:val="00002A44"/>
    <w:rsid w:val="000034B0"/>
    <w:rsid w:val="00004FCA"/>
    <w:rsid w:val="00021E35"/>
    <w:rsid w:val="00023D51"/>
    <w:rsid w:val="0002510E"/>
    <w:rsid w:val="00030859"/>
    <w:rsid w:val="000316ED"/>
    <w:rsid w:val="00037C78"/>
    <w:rsid w:val="00040323"/>
    <w:rsid w:val="00056B38"/>
    <w:rsid w:val="00061338"/>
    <w:rsid w:val="00062655"/>
    <w:rsid w:val="00074EF0"/>
    <w:rsid w:val="000B121C"/>
    <w:rsid w:val="000B3E65"/>
    <w:rsid w:val="000D3EDC"/>
    <w:rsid w:val="000D5E5D"/>
    <w:rsid w:val="000E32D7"/>
    <w:rsid w:val="001168E9"/>
    <w:rsid w:val="00125D5B"/>
    <w:rsid w:val="00136DCF"/>
    <w:rsid w:val="00145988"/>
    <w:rsid w:val="00155C75"/>
    <w:rsid w:val="00163987"/>
    <w:rsid w:val="001875E8"/>
    <w:rsid w:val="001A0B24"/>
    <w:rsid w:val="001A0DAC"/>
    <w:rsid w:val="001A11DB"/>
    <w:rsid w:val="001A5EA1"/>
    <w:rsid w:val="001A6F17"/>
    <w:rsid w:val="001C1E61"/>
    <w:rsid w:val="001C462F"/>
    <w:rsid w:val="001F7066"/>
    <w:rsid w:val="00212369"/>
    <w:rsid w:val="0021301E"/>
    <w:rsid w:val="00241081"/>
    <w:rsid w:val="00241261"/>
    <w:rsid w:val="00252ADA"/>
    <w:rsid w:val="002656C8"/>
    <w:rsid w:val="00271B39"/>
    <w:rsid w:val="00271EDA"/>
    <w:rsid w:val="0029262E"/>
    <w:rsid w:val="002A0194"/>
    <w:rsid w:val="002A2DE8"/>
    <w:rsid w:val="002E5631"/>
    <w:rsid w:val="002F3C9F"/>
    <w:rsid w:val="00300584"/>
    <w:rsid w:val="00311253"/>
    <w:rsid w:val="00312D95"/>
    <w:rsid w:val="00316CDE"/>
    <w:rsid w:val="003510CC"/>
    <w:rsid w:val="00356343"/>
    <w:rsid w:val="00360143"/>
    <w:rsid w:val="00360E1F"/>
    <w:rsid w:val="00370D9D"/>
    <w:rsid w:val="00377C08"/>
    <w:rsid w:val="00381881"/>
    <w:rsid w:val="00393E4E"/>
    <w:rsid w:val="00395DE9"/>
    <w:rsid w:val="003A7067"/>
    <w:rsid w:val="003C784D"/>
    <w:rsid w:val="003D664B"/>
    <w:rsid w:val="003E1735"/>
    <w:rsid w:val="003F5363"/>
    <w:rsid w:val="00410677"/>
    <w:rsid w:val="00422F89"/>
    <w:rsid w:val="004269A7"/>
    <w:rsid w:val="00446AC5"/>
    <w:rsid w:val="0046217D"/>
    <w:rsid w:val="004741FE"/>
    <w:rsid w:val="004916A5"/>
    <w:rsid w:val="004926E9"/>
    <w:rsid w:val="0049647A"/>
    <w:rsid w:val="004D17E1"/>
    <w:rsid w:val="004E0EC8"/>
    <w:rsid w:val="004F781A"/>
    <w:rsid w:val="00501F79"/>
    <w:rsid w:val="005025CE"/>
    <w:rsid w:val="00505346"/>
    <w:rsid w:val="005314D0"/>
    <w:rsid w:val="00544EE1"/>
    <w:rsid w:val="005470F9"/>
    <w:rsid w:val="00551558"/>
    <w:rsid w:val="00552D6A"/>
    <w:rsid w:val="005539C4"/>
    <w:rsid w:val="00574FE2"/>
    <w:rsid w:val="00586952"/>
    <w:rsid w:val="005C2127"/>
    <w:rsid w:val="005C5AED"/>
    <w:rsid w:val="005C73DA"/>
    <w:rsid w:val="005D57A4"/>
    <w:rsid w:val="005D76CB"/>
    <w:rsid w:val="005E3510"/>
    <w:rsid w:val="005E73E6"/>
    <w:rsid w:val="005F523C"/>
    <w:rsid w:val="0060795A"/>
    <w:rsid w:val="00617A8E"/>
    <w:rsid w:val="0062081F"/>
    <w:rsid w:val="00625DD7"/>
    <w:rsid w:val="00632307"/>
    <w:rsid w:val="006350D6"/>
    <w:rsid w:val="00635317"/>
    <w:rsid w:val="00646DCE"/>
    <w:rsid w:val="00647A35"/>
    <w:rsid w:val="00647E39"/>
    <w:rsid w:val="006521CF"/>
    <w:rsid w:val="006612A0"/>
    <w:rsid w:val="006635EB"/>
    <w:rsid w:val="00663FB1"/>
    <w:rsid w:val="00671318"/>
    <w:rsid w:val="0068256B"/>
    <w:rsid w:val="00685EAD"/>
    <w:rsid w:val="00691CC5"/>
    <w:rsid w:val="0069497B"/>
    <w:rsid w:val="00696BEA"/>
    <w:rsid w:val="006B0C4B"/>
    <w:rsid w:val="006B2519"/>
    <w:rsid w:val="006B2FE1"/>
    <w:rsid w:val="006D2C77"/>
    <w:rsid w:val="006F51D3"/>
    <w:rsid w:val="00706122"/>
    <w:rsid w:val="00715C77"/>
    <w:rsid w:val="007179B0"/>
    <w:rsid w:val="0072345C"/>
    <w:rsid w:val="007247C7"/>
    <w:rsid w:val="00735069"/>
    <w:rsid w:val="00740066"/>
    <w:rsid w:val="00744694"/>
    <w:rsid w:val="00751CFD"/>
    <w:rsid w:val="007534BB"/>
    <w:rsid w:val="00774096"/>
    <w:rsid w:val="00774D70"/>
    <w:rsid w:val="007761D1"/>
    <w:rsid w:val="007C16C9"/>
    <w:rsid w:val="00821F98"/>
    <w:rsid w:val="008359F9"/>
    <w:rsid w:val="00847182"/>
    <w:rsid w:val="008524EA"/>
    <w:rsid w:val="00861B3B"/>
    <w:rsid w:val="00866135"/>
    <w:rsid w:val="00877881"/>
    <w:rsid w:val="0088204D"/>
    <w:rsid w:val="008C295A"/>
    <w:rsid w:val="008D0FBB"/>
    <w:rsid w:val="008D3483"/>
    <w:rsid w:val="008F1D16"/>
    <w:rsid w:val="00924F88"/>
    <w:rsid w:val="0092708A"/>
    <w:rsid w:val="009374FD"/>
    <w:rsid w:val="00940BFA"/>
    <w:rsid w:val="0094111A"/>
    <w:rsid w:val="0094302A"/>
    <w:rsid w:val="009433F3"/>
    <w:rsid w:val="00990A17"/>
    <w:rsid w:val="00992E8A"/>
    <w:rsid w:val="009B6106"/>
    <w:rsid w:val="009C01AC"/>
    <w:rsid w:val="009C4EAA"/>
    <w:rsid w:val="009D0042"/>
    <w:rsid w:val="009D715B"/>
    <w:rsid w:val="009E44EF"/>
    <w:rsid w:val="009F3C80"/>
    <w:rsid w:val="00A00A03"/>
    <w:rsid w:val="00A01D5D"/>
    <w:rsid w:val="00A032C1"/>
    <w:rsid w:val="00A10624"/>
    <w:rsid w:val="00A12EB6"/>
    <w:rsid w:val="00A2242E"/>
    <w:rsid w:val="00A36C45"/>
    <w:rsid w:val="00A64B1E"/>
    <w:rsid w:val="00A7286C"/>
    <w:rsid w:val="00A7333C"/>
    <w:rsid w:val="00A75D5F"/>
    <w:rsid w:val="00A80190"/>
    <w:rsid w:val="00A8571B"/>
    <w:rsid w:val="00AA144A"/>
    <w:rsid w:val="00AA2DB0"/>
    <w:rsid w:val="00AC457B"/>
    <w:rsid w:val="00AD1240"/>
    <w:rsid w:val="00AD496C"/>
    <w:rsid w:val="00AD5249"/>
    <w:rsid w:val="00AD6D83"/>
    <w:rsid w:val="00B04A2D"/>
    <w:rsid w:val="00B11257"/>
    <w:rsid w:val="00B31AEA"/>
    <w:rsid w:val="00B40E7A"/>
    <w:rsid w:val="00B67AAA"/>
    <w:rsid w:val="00B71112"/>
    <w:rsid w:val="00B74C44"/>
    <w:rsid w:val="00B8030B"/>
    <w:rsid w:val="00B81B0D"/>
    <w:rsid w:val="00B86D82"/>
    <w:rsid w:val="00B900E3"/>
    <w:rsid w:val="00B91571"/>
    <w:rsid w:val="00B953E4"/>
    <w:rsid w:val="00B95936"/>
    <w:rsid w:val="00BC349E"/>
    <w:rsid w:val="00BD35EF"/>
    <w:rsid w:val="00BE54C2"/>
    <w:rsid w:val="00C04847"/>
    <w:rsid w:val="00C07DCD"/>
    <w:rsid w:val="00C45F88"/>
    <w:rsid w:val="00C4766A"/>
    <w:rsid w:val="00C53688"/>
    <w:rsid w:val="00C55EDE"/>
    <w:rsid w:val="00C624B8"/>
    <w:rsid w:val="00C75FED"/>
    <w:rsid w:val="00C80014"/>
    <w:rsid w:val="00C94A83"/>
    <w:rsid w:val="00CA5E2A"/>
    <w:rsid w:val="00CA7E07"/>
    <w:rsid w:val="00CC2524"/>
    <w:rsid w:val="00CD39B4"/>
    <w:rsid w:val="00D1108E"/>
    <w:rsid w:val="00D46038"/>
    <w:rsid w:val="00D56ABA"/>
    <w:rsid w:val="00D6389F"/>
    <w:rsid w:val="00D715EA"/>
    <w:rsid w:val="00D900D1"/>
    <w:rsid w:val="00DB1035"/>
    <w:rsid w:val="00DC1787"/>
    <w:rsid w:val="00DC3D58"/>
    <w:rsid w:val="00DD3054"/>
    <w:rsid w:val="00DD4942"/>
    <w:rsid w:val="00DF4490"/>
    <w:rsid w:val="00E162D4"/>
    <w:rsid w:val="00E1746A"/>
    <w:rsid w:val="00E2715D"/>
    <w:rsid w:val="00E33DE8"/>
    <w:rsid w:val="00E37A2F"/>
    <w:rsid w:val="00E403FD"/>
    <w:rsid w:val="00E47658"/>
    <w:rsid w:val="00E56845"/>
    <w:rsid w:val="00E73D68"/>
    <w:rsid w:val="00E84ECA"/>
    <w:rsid w:val="00EA5F53"/>
    <w:rsid w:val="00EA7F06"/>
    <w:rsid w:val="00EA7F8D"/>
    <w:rsid w:val="00EC3C36"/>
    <w:rsid w:val="00EC3F66"/>
    <w:rsid w:val="00EE0EB2"/>
    <w:rsid w:val="00EF076A"/>
    <w:rsid w:val="00EF74D8"/>
    <w:rsid w:val="00F16AF5"/>
    <w:rsid w:val="00F2247B"/>
    <w:rsid w:val="00F25DB7"/>
    <w:rsid w:val="00F26A1B"/>
    <w:rsid w:val="00F30B65"/>
    <w:rsid w:val="00F337E1"/>
    <w:rsid w:val="00F3384B"/>
    <w:rsid w:val="00F546BF"/>
    <w:rsid w:val="00F55D40"/>
    <w:rsid w:val="00F716A2"/>
    <w:rsid w:val="00F73A58"/>
    <w:rsid w:val="00F76247"/>
    <w:rsid w:val="00F845D2"/>
    <w:rsid w:val="00FB2D6E"/>
    <w:rsid w:val="00FC517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5DB7"/>
    <w:rPr>
      <w:rFonts w:ascii="Times New Roman" w:eastAsia="Times New Roman" w:hAnsi="Times New Roman" w:cs="Times New Roman"/>
    </w:rPr>
  </w:style>
  <w:style w:type="paragraph" w:styleId="Heading1">
    <w:name w:val="heading 1"/>
    <w:basedOn w:val="Normal"/>
    <w:uiPriority w:val="1"/>
    <w:qFormat/>
    <w:rsid w:val="00F25DB7"/>
    <w:pPr>
      <w:ind w:left="66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25DB7"/>
    <w:rPr>
      <w:sz w:val="24"/>
      <w:szCs w:val="24"/>
    </w:rPr>
  </w:style>
  <w:style w:type="paragraph" w:styleId="ListParagraph">
    <w:name w:val="List Paragraph"/>
    <w:basedOn w:val="Normal"/>
    <w:uiPriority w:val="1"/>
    <w:qFormat/>
    <w:rsid w:val="00F25DB7"/>
    <w:pPr>
      <w:ind w:left="480"/>
    </w:pPr>
  </w:style>
  <w:style w:type="paragraph" w:customStyle="1" w:styleId="TableParagraph">
    <w:name w:val="Table Paragraph"/>
    <w:basedOn w:val="Normal"/>
    <w:uiPriority w:val="1"/>
    <w:qFormat/>
    <w:rsid w:val="00F25DB7"/>
  </w:style>
  <w:style w:type="paragraph" w:styleId="Header">
    <w:name w:val="header"/>
    <w:basedOn w:val="Normal"/>
    <w:link w:val="HeaderChar"/>
    <w:uiPriority w:val="99"/>
    <w:unhideWhenUsed/>
    <w:rsid w:val="001F7066"/>
    <w:pPr>
      <w:tabs>
        <w:tab w:val="center" w:pos="4680"/>
        <w:tab w:val="right" w:pos="9360"/>
      </w:tabs>
    </w:pPr>
  </w:style>
  <w:style w:type="character" w:customStyle="1" w:styleId="HeaderChar">
    <w:name w:val="Header Char"/>
    <w:basedOn w:val="DefaultParagraphFont"/>
    <w:link w:val="Header"/>
    <w:uiPriority w:val="99"/>
    <w:rsid w:val="001F7066"/>
    <w:rPr>
      <w:rFonts w:ascii="Times New Roman" w:eastAsia="Times New Roman" w:hAnsi="Times New Roman" w:cs="Times New Roman"/>
    </w:rPr>
  </w:style>
  <w:style w:type="paragraph" w:styleId="Footer">
    <w:name w:val="footer"/>
    <w:basedOn w:val="Normal"/>
    <w:link w:val="FooterChar"/>
    <w:uiPriority w:val="99"/>
    <w:unhideWhenUsed/>
    <w:rsid w:val="001F7066"/>
    <w:pPr>
      <w:tabs>
        <w:tab w:val="center" w:pos="4680"/>
        <w:tab w:val="right" w:pos="9360"/>
      </w:tabs>
    </w:pPr>
  </w:style>
  <w:style w:type="character" w:customStyle="1" w:styleId="FooterChar">
    <w:name w:val="Footer Char"/>
    <w:basedOn w:val="DefaultParagraphFont"/>
    <w:link w:val="Footer"/>
    <w:uiPriority w:val="99"/>
    <w:rsid w:val="001F7066"/>
    <w:rPr>
      <w:rFonts w:ascii="Times New Roman" w:eastAsia="Times New Roman" w:hAnsi="Times New Roman" w:cs="Times New Roman"/>
    </w:rPr>
  </w:style>
  <w:style w:type="table" w:styleId="TableGrid">
    <w:name w:val="Table Grid"/>
    <w:basedOn w:val="TableNormal"/>
    <w:uiPriority w:val="39"/>
    <w:rsid w:val="004964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7F06"/>
    <w:rPr>
      <w:rFonts w:ascii="Tahoma" w:hAnsi="Tahoma" w:cs="Tahoma"/>
      <w:sz w:val="16"/>
      <w:szCs w:val="16"/>
    </w:rPr>
  </w:style>
  <w:style w:type="character" w:customStyle="1" w:styleId="BalloonTextChar">
    <w:name w:val="Balloon Text Char"/>
    <w:basedOn w:val="DefaultParagraphFont"/>
    <w:link w:val="BalloonText"/>
    <w:uiPriority w:val="99"/>
    <w:semiHidden/>
    <w:rsid w:val="00EA7F06"/>
    <w:rPr>
      <w:rFonts w:ascii="Tahoma" w:eastAsia="Times New Roman" w:hAnsi="Tahoma" w:cs="Tahoma"/>
      <w:sz w:val="16"/>
      <w:szCs w:val="16"/>
    </w:rPr>
  </w:style>
  <w:style w:type="character" w:styleId="Hyperlink">
    <w:name w:val="Hyperlink"/>
    <w:basedOn w:val="DefaultParagraphFont"/>
    <w:uiPriority w:val="99"/>
    <w:semiHidden/>
    <w:unhideWhenUsed/>
    <w:rsid w:val="00145988"/>
    <w:rPr>
      <w:color w:val="0000FF"/>
      <w:u w:val="single"/>
    </w:rPr>
  </w:style>
  <w:style w:type="paragraph" w:styleId="NormalWeb">
    <w:name w:val="Normal (Web)"/>
    <w:basedOn w:val="Normal"/>
    <w:uiPriority w:val="99"/>
    <w:semiHidden/>
    <w:unhideWhenUsed/>
    <w:rsid w:val="00145988"/>
    <w:pPr>
      <w:widowControl/>
      <w:autoSpaceDE/>
      <w:autoSpaceDN/>
      <w:spacing w:before="100" w:beforeAutospacing="1" w:after="100" w:afterAutospacing="1"/>
    </w:pPr>
    <w:rPr>
      <w:sz w:val="24"/>
      <w:szCs w:val="24"/>
      <w:lang w:bidi="hi-IN"/>
    </w:rPr>
  </w:style>
  <w:style w:type="character" w:customStyle="1" w:styleId="BodyTextChar">
    <w:name w:val="Body Text Char"/>
    <w:basedOn w:val="DefaultParagraphFont"/>
    <w:link w:val="BodyText"/>
    <w:uiPriority w:val="1"/>
    <w:rsid w:val="00241081"/>
    <w:rPr>
      <w:rFonts w:ascii="Times New Roman" w:eastAsia="Times New Roman" w:hAnsi="Times New Roman" w:cs="Times New Roman"/>
      <w:sz w:val="24"/>
      <w:szCs w:val="24"/>
    </w:rPr>
  </w:style>
  <w:style w:type="paragraph" w:customStyle="1" w:styleId="Default">
    <w:name w:val="Default"/>
    <w:rsid w:val="006635EB"/>
    <w:pPr>
      <w:widowControl/>
      <w:adjustRightInd w:val="0"/>
    </w:pPr>
    <w:rPr>
      <w:rFonts w:ascii="Times New Roman" w:hAnsi="Times New Roman" w:cs="Times New Roman"/>
      <w:color w:val="000000"/>
      <w:sz w:val="24"/>
      <w:szCs w:val="24"/>
      <w:lang w:bidi="hi-IN"/>
    </w:rPr>
  </w:style>
</w:styles>
</file>

<file path=word/webSettings.xml><?xml version="1.0" encoding="utf-8"?>
<w:webSettings xmlns:r="http://schemas.openxmlformats.org/officeDocument/2006/relationships" xmlns:w="http://schemas.openxmlformats.org/wordprocessingml/2006/main">
  <w:divs>
    <w:div w:id="537395652">
      <w:bodyDiv w:val="1"/>
      <w:marLeft w:val="0"/>
      <w:marRight w:val="0"/>
      <w:marTop w:val="0"/>
      <w:marBottom w:val="0"/>
      <w:divBdr>
        <w:top w:val="none" w:sz="0" w:space="0" w:color="auto"/>
        <w:left w:val="none" w:sz="0" w:space="0" w:color="auto"/>
        <w:bottom w:val="none" w:sz="0" w:space="0" w:color="auto"/>
        <w:right w:val="none" w:sz="0" w:space="0" w:color="auto"/>
      </w:divBdr>
    </w:div>
    <w:div w:id="1015158965">
      <w:bodyDiv w:val="1"/>
      <w:marLeft w:val="0"/>
      <w:marRight w:val="0"/>
      <w:marTop w:val="0"/>
      <w:marBottom w:val="0"/>
      <w:divBdr>
        <w:top w:val="none" w:sz="0" w:space="0" w:color="auto"/>
        <w:left w:val="none" w:sz="0" w:space="0" w:color="auto"/>
        <w:bottom w:val="none" w:sz="0" w:space="0" w:color="auto"/>
        <w:right w:val="none" w:sz="0" w:space="0" w:color="auto"/>
      </w:divBdr>
    </w:div>
    <w:div w:id="1970092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javascript:doHTTPGetLayer('PrintDetail','1087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dardsbis.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is.org.in"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BIS1</cp:lastModifiedBy>
  <cp:revision>11</cp:revision>
  <cp:lastPrinted>2024-11-26T10:07:00Z</cp:lastPrinted>
  <dcterms:created xsi:type="dcterms:W3CDTF">2024-11-26T10:52:00Z</dcterms:created>
  <dcterms:modified xsi:type="dcterms:W3CDTF">2024-11-27T03:40:00Z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2013</vt:lpwstr>
  </property>
  <property fmtid="{D5CDD505-2E9C-101B-9397-08002B2CF9AE}" pid="4" name="LastSaved">
    <vt:filetime>2023-11-09T00:00:00Z</vt:filetime>
  </property>
  <property fmtid="{D5CDD505-2E9C-101B-9397-08002B2CF9AE}" pid="5" name="Producer">
    <vt:lpwstr>Microsoft® Word 2013</vt:lpwstr>
  </property>
</Properties>
</file>