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3D4" w14:textId="640048BB" w:rsidR="001F7066" w:rsidRPr="00EA5F53" w:rsidRDefault="008875E9" w:rsidP="0007671F">
      <w:pPr>
        <w:pStyle w:val="BodyText"/>
        <w:ind w:left="3870"/>
        <w:jc w:val="right"/>
        <w:rPr>
          <w:rFonts w:ascii="Arial" w:hAnsi="Arial" w:cs="Arial"/>
          <w:b/>
          <w:bCs/>
        </w:rPr>
      </w:pPr>
      <w:r>
        <w:rPr>
          <w:rFonts w:ascii="Arial" w:hAnsi="Arial" w:cs="Arial"/>
          <w:b/>
          <w:bCs/>
        </w:rPr>
        <w:pict w14:anchorId="603470F4">
          <v:rect id="Rectangle 13" o:spid="_x0000_s1026" style="position:absolute;left:0;text-align:left;margin-left:118.25pt;margin-top:-51pt;width:2in;height:51.75pt;z-index:251609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" fillcolor="white [3201]" strokecolor="white [3212]" strokeweight="2pt">
            <v:path arrowok="t"/>
            <v:textbox>
              <w:txbxContent>
                <w:p w14:paraId="644B8411" w14:textId="77777777" w:rsidR="001F7066" w:rsidRPr="00E73D3B" w:rsidRDefault="001F7066" w:rsidP="00BF3681">
                  <w:pPr>
                    <w:jc w:val="cente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1F7066" w:rsidRPr="00A36C45">
        <w:rPr>
          <w:rFonts w:ascii="Arial" w:hAnsi="Arial" w:cs="Arial"/>
          <w:b/>
          <w:bCs/>
        </w:rPr>
        <w:t xml:space="preserve">                   </w:t>
      </w:r>
      <w:r w:rsidR="00A36C45">
        <w:rPr>
          <w:rFonts w:ascii="Arial" w:hAnsi="Arial" w:cs="Arial"/>
          <w:b/>
          <w:bCs/>
        </w:rPr>
        <w:t xml:space="preserve"> </w:t>
      </w:r>
      <w:r w:rsidR="00A36C45" w:rsidRPr="00A36C45">
        <w:rPr>
          <w:rFonts w:ascii="Arial" w:hAnsi="Arial" w:cs="Arial"/>
          <w:b/>
          <w:bCs/>
        </w:rPr>
        <w:t>IS</w:t>
      </w:r>
      <w:r w:rsidR="005B1766">
        <w:rPr>
          <w:rFonts w:ascii="Arial" w:hAnsi="Arial" w:cs="Arial"/>
          <w:b/>
          <w:bCs/>
        </w:rPr>
        <w:t>/</w:t>
      </w:r>
      <w:r w:rsidR="005B1766" w:rsidRPr="00C53688">
        <w:rPr>
          <w:rFonts w:ascii="Arial" w:hAnsi="Arial" w:cs="Arial"/>
          <w:b/>
          <w:bCs/>
        </w:rPr>
        <w:t>IEC 60034-</w:t>
      </w:r>
      <w:r w:rsidR="005B1766">
        <w:rPr>
          <w:rFonts w:ascii="Arial" w:hAnsi="Arial" w:cs="Arial"/>
          <w:b/>
          <w:bCs/>
        </w:rPr>
        <w:t>2-1</w:t>
      </w:r>
      <w:r w:rsidR="005B1766" w:rsidRPr="00C53688">
        <w:rPr>
          <w:rFonts w:ascii="Arial" w:hAnsi="Arial" w:cs="Arial"/>
          <w:b/>
          <w:bCs/>
        </w:rPr>
        <w:t>:</w:t>
      </w:r>
      <w:r w:rsidR="005B1766">
        <w:rPr>
          <w:rFonts w:ascii="Arial" w:hAnsi="Arial" w:cs="Arial"/>
          <w:b/>
          <w:bCs/>
        </w:rPr>
        <w:t xml:space="preserve"> </w:t>
      </w:r>
      <w:r w:rsidR="005B1766" w:rsidRPr="00C53688">
        <w:rPr>
          <w:rFonts w:ascii="Arial" w:hAnsi="Arial" w:cs="Arial"/>
          <w:b/>
          <w:bCs/>
        </w:rPr>
        <w:t>202</w:t>
      </w:r>
      <w:r w:rsidR="005B1766">
        <w:rPr>
          <w:rFonts w:ascii="Arial" w:hAnsi="Arial" w:cs="Arial"/>
          <w:b/>
          <w:bCs/>
        </w:rPr>
        <w:t>4</w:t>
      </w:r>
    </w:p>
    <w:p w14:paraId="10DB2530" w14:textId="68216E16" w:rsidR="001F7066" w:rsidRPr="008D0FBB" w:rsidRDefault="0007671F" w:rsidP="0007671F">
      <w:pPr>
        <w:pStyle w:val="BodyText"/>
        <w:ind w:left="3780" w:right="-180"/>
        <w:jc w:val="center"/>
        <w:rPr>
          <w:rFonts w:ascii="Arial" w:hAnsi="Arial" w:cs="Arial"/>
          <w:b/>
          <w:sz w:val="36"/>
          <w:szCs w:val="32"/>
        </w:rPr>
      </w:pPr>
      <w:r>
        <w:rPr>
          <w:rFonts w:ascii="Arial" w:eastAsiaTheme="minorHAnsi" w:hAnsi="Arial" w:cs="Arial"/>
          <w:lang w:bidi="hi-IN"/>
        </w:rPr>
        <w:t xml:space="preserve">      </w:t>
      </w:r>
      <w:r w:rsidR="00E0731C" w:rsidRPr="00E0731C">
        <w:rPr>
          <w:rFonts w:ascii="Arial" w:eastAsiaTheme="minorHAnsi" w:hAnsi="Arial" w:cs="Arial"/>
          <w:lang w:bidi="hi-IN"/>
        </w:rPr>
        <w:t>[</w:t>
      </w:r>
      <w:r w:rsidR="00E0731C" w:rsidRPr="0026010A">
        <w:rPr>
          <w:rFonts w:ascii="Arial" w:eastAsiaTheme="minorHAnsi" w:hAnsi="Arial" w:cs="Arial"/>
          <w:lang w:bidi="hi-IN"/>
        </w:rPr>
        <w:t xml:space="preserve">Superseding </w:t>
      </w:r>
      <w:r w:rsidR="00E0731C" w:rsidRPr="00E0731C">
        <w:rPr>
          <w:rFonts w:ascii="Arial" w:eastAsiaTheme="minorHAnsi" w:hAnsi="Arial" w:cs="Arial"/>
          <w:lang w:bidi="hi-IN"/>
        </w:rPr>
        <w:t>IS 15999 (Part 2</w:t>
      </w:r>
      <w:r w:rsidR="00E0731C">
        <w:rPr>
          <w:rFonts w:ascii="Arial" w:eastAsiaTheme="minorHAnsi" w:hAnsi="Arial" w:cs="Arial"/>
          <w:lang w:bidi="hi-IN"/>
        </w:rPr>
        <w:t>/Sec 1)</w:t>
      </w:r>
      <w:r w:rsidR="00E0731C" w:rsidRPr="00E0731C">
        <w:rPr>
          <w:rFonts w:ascii="Arial" w:eastAsiaTheme="minorHAnsi" w:hAnsi="Arial" w:cs="Arial"/>
          <w:lang w:bidi="hi-IN"/>
        </w:rPr>
        <w:t>: 2023]</w:t>
      </w:r>
      <w:r w:rsidR="009374FD" w:rsidRPr="00E0731C">
        <w:rPr>
          <w:rFonts w:ascii="Arial" w:hAnsi="Arial" w:cs="Arial"/>
          <w:b/>
          <w:bCs/>
        </w:rPr>
        <w:t xml:space="preserve">  </w:t>
      </w:r>
      <w:r w:rsidR="009374FD" w:rsidRPr="00EA5F53">
        <w:rPr>
          <w:rFonts w:ascii="Arial" w:hAnsi="Arial" w:cs="Arial"/>
          <w:b/>
          <w:bCs/>
        </w:rPr>
        <w:t xml:space="preserve">                      </w:t>
      </w:r>
      <w:r w:rsidR="00505346" w:rsidRPr="00EA5F53">
        <w:rPr>
          <w:rFonts w:ascii="Arial" w:hAnsi="Arial" w:cs="Arial"/>
          <w:b/>
          <w:bCs/>
        </w:rPr>
        <w:t xml:space="preserve">                          </w:t>
      </w:r>
      <w:r w:rsidR="008875E9">
        <w:rPr>
          <w:rFonts w:ascii="Arial" w:hAnsi="Arial" w:cs="Arial"/>
          <w:noProof/>
        </w:rPr>
      </w:r>
      <w:r w:rsidR="008875E9">
        <w:rPr>
          <w:rFonts w:ascii="Arial" w:hAnsi="Arial" w:cs="Arial"/>
          <w:noProof/>
        </w:rPr>
        <w:pict w14:anchorId="235F9EB3">
          <v:group id="Group 14" o:spid="_x0000_s1043" style="width:322.95pt;height:4.3pt;flip:y;mso-position-horizontal-relative:char;mso-position-vertical-relative:line" coordsize="6347,100">
            <v:line id="Line 9" o:spid="_x0000_s1027"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wrap type="none"/>
            <w10:anchorlock/>
          </v:group>
        </w:pict>
      </w:r>
    </w:p>
    <w:p w14:paraId="422E6C9E" w14:textId="77777777" w:rsidR="001F7066" w:rsidRPr="00EA5F53" w:rsidRDefault="001F7066" w:rsidP="00A36C45">
      <w:pPr>
        <w:pStyle w:val="BodyText"/>
        <w:ind w:left="3870"/>
        <w:jc w:val="center"/>
        <w:rPr>
          <w:rFonts w:ascii="Kokila" w:hAnsi="Kokila" w:cs="Kokila"/>
          <w:rtl/>
          <w:cs/>
        </w:rPr>
      </w:pPr>
    </w:p>
    <w:p w14:paraId="0A09BC7F" w14:textId="77777777" w:rsidR="00A01D5D" w:rsidRDefault="00A01D5D" w:rsidP="00A36C45">
      <w:pPr>
        <w:pStyle w:val="BodyText"/>
        <w:ind w:left="3787"/>
        <w:jc w:val="center"/>
        <w:rPr>
          <w:rFonts w:ascii="Kokila" w:hAnsi="Kokila" w:cs="Kokila"/>
          <w:b/>
          <w:bCs/>
          <w:sz w:val="52"/>
          <w:szCs w:val="52"/>
          <w:lang w:bidi="hi-IN"/>
        </w:rPr>
      </w:pPr>
      <w:r w:rsidRPr="00A01D5D">
        <w:rPr>
          <w:rFonts w:ascii="Kokila" w:hAnsi="Kokila" w:cs="Kokila" w:hint="cs"/>
          <w:b/>
          <w:bCs/>
          <w:sz w:val="52"/>
          <w:szCs w:val="52"/>
          <w:cs/>
          <w:lang w:bidi="hi-IN"/>
        </w:rPr>
        <w:t>विद्युत</w:t>
      </w:r>
      <w:r w:rsidRPr="00A01D5D">
        <w:rPr>
          <w:rFonts w:ascii="Kokila" w:hAnsi="Kokila" w:cs="Kokila"/>
          <w:b/>
          <w:bCs/>
          <w:sz w:val="52"/>
          <w:szCs w:val="52"/>
          <w:cs/>
          <w:lang w:bidi="hi-IN"/>
        </w:rPr>
        <w:t xml:space="preserve"> </w:t>
      </w:r>
      <w:r w:rsidRPr="00A01D5D">
        <w:rPr>
          <w:rFonts w:ascii="Kokila" w:hAnsi="Kokila" w:cs="Kokila" w:hint="cs"/>
          <w:b/>
          <w:bCs/>
          <w:sz w:val="52"/>
          <w:szCs w:val="52"/>
          <w:cs/>
          <w:lang w:bidi="hi-IN"/>
        </w:rPr>
        <w:t>घूर्णिय</w:t>
      </w:r>
      <w:r w:rsidRPr="00A01D5D">
        <w:rPr>
          <w:rFonts w:ascii="Kokila" w:hAnsi="Kokila" w:cs="Kokila"/>
          <w:b/>
          <w:bCs/>
          <w:sz w:val="52"/>
          <w:szCs w:val="52"/>
          <w:cs/>
          <w:lang w:bidi="hi-IN"/>
        </w:rPr>
        <w:t xml:space="preserve"> </w:t>
      </w:r>
      <w:r w:rsidRPr="00A01D5D">
        <w:rPr>
          <w:rFonts w:ascii="Kokila" w:hAnsi="Kokila" w:cs="Kokila" w:hint="cs"/>
          <w:b/>
          <w:bCs/>
          <w:sz w:val="52"/>
          <w:szCs w:val="52"/>
          <w:cs/>
          <w:lang w:bidi="hi-IN"/>
        </w:rPr>
        <w:t>मशीन</w:t>
      </w:r>
    </w:p>
    <w:p w14:paraId="32911879" w14:textId="77777777" w:rsidR="00A01D5D" w:rsidRPr="00A01D5D" w:rsidRDefault="00A01D5D" w:rsidP="00A36C45">
      <w:pPr>
        <w:pStyle w:val="BodyText"/>
        <w:ind w:left="3787" w:hanging="180"/>
        <w:jc w:val="center"/>
        <w:rPr>
          <w:rFonts w:ascii="Kokila" w:hAnsi="Kokila" w:cs="Kokila"/>
          <w:b/>
          <w:bCs/>
          <w:sz w:val="44"/>
          <w:szCs w:val="44"/>
        </w:rPr>
      </w:pPr>
      <w:r w:rsidRPr="00A01D5D">
        <w:rPr>
          <w:rFonts w:ascii="Kokila" w:hAnsi="Kokila" w:cs="Kokila" w:hint="cs"/>
          <w:b/>
          <w:bCs/>
          <w:sz w:val="44"/>
          <w:szCs w:val="44"/>
          <w:cs/>
          <w:lang w:bidi="hi-IN"/>
        </w:rPr>
        <w:t>भाग</w:t>
      </w:r>
      <w:r w:rsidRPr="00A01D5D">
        <w:rPr>
          <w:rFonts w:ascii="Kokila" w:hAnsi="Kokila" w:cs="Kokila"/>
          <w:b/>
          <w:bCs/>
          <w:sz w:val="44"/>
          <w:szCs w:val="44"/>
          <w:cs/>
          <w:lang w:bidi="hi-IN"/>
        </w:rPr>
        <w:t xml:space="preserve"> 2 </w:t>
      </w:r>
      <w:r w:rsidR="004916A5" w:rsidRPr="004916A5">
        <w:rPr>
          <w:rFonts w:ascii="Kokila" w:hAnsi="Kokila" w:cs="Kokila" w:hint="cs"/>
          <w:b/>
          <w:bCs/>
          <w:sz w:val="44"/>
          <w:szCs w:val="44"/>
          <w:cs/>
          <w:lang w:bidi="hi-IN"/>
        </w:rPr>
        <w:t>परीक्षण</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के</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द्वारा</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क्षति</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और</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दक्षता</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का</w:t>
      </w:r>
      <w:r w:rsidRPr="00A01D5D">
        <w:rPr>
          <w:rFonts w:ascii="Kokila" w:hAnsi="Kokila" w:cs="Kokila"/>
          <w:b/>
          <w:bCs/>
          <w:sz w:val="44"/>
          <w:szCs w:val="44"/>
          <w:cs/>
          <w:lang w:bidi="hi-IN"/>
        </w:rPr>
        <w:t xml:space="preserve"> </w:t>
      </w:r>
      <w:r w:rsidRPr="00A01D5D">
        <w:rPr>
          <w:rFonts w:ascii="Kokila" w:hAnsi="Kokila" w:cs="Kokila" w:hint="cs"/>
          <w:b/>
          <w:bCs/>
          <w:sz w:val="44"/>
          <w:szCs w:val="44"/>
          <w:cs/>
          <w:lang w:bidi="hi-IN"/>
        </w:rPr>
        <w:t>निर्धारण</w:t>
      </w:r>
    </w:p>
    <w:p w14:paraId="0364A69D" w14:textId="77777777" w:rsidR="00A01D5D" w:rsidRPr="00A01D5D" w:rsidRDefault="00A01D5D" w:rsidP="00A36C45">
      <w:pPr>
        <w:pStyle w:val="BodyText"/>
        <w:ind w:left="3780"/>
        <w:jc w:val="center"/>
        <w:rPr>
          <w:rFonts w:ascii="Kokila" w:hAnsi="Kokila" w:cs="Kokila"/>
          <w:b/>
          <w:bCs/>
          <w:sz w:val="40"/>
          <w:szCs w:val="40"/>
          <w:lang w:bidi="hi-IN"/>
        </w:rPr>
      </w:pPr>
      <w:r w:rsidRPr="00A01D5D">
        <w:rPr>
          <w:rFonts w:ascii="Kokila" w:hAnsi="Kokila" w:cs="Kokila" w:hint="cs"/>
          <w:b/>
          <w:bCs/>
          <w:sz w:val="40"/>
          <w:szCs w:val="40"/>
          <w:cs/>
          <w:lang w:bidi="hi-IN"/>
        </w:rPr>
        <w:t>अनुभाग</w:t>
      </w:r>
      <w:r w:rsidRPr="00A01D5D">
        <w:rPr>
          <w:rFonts w:ascii="Kokila" w:hAnsi="Kokila" w:cs="Kokila"/>
          <w:b/>
          <w:bCs/>
          <w:sz w:val="40"/>
          <w:szCs w:val="40"/>
          <w:cs/>
          <w:lang w:bidi="hi-IN"/>
        </w:rPr>
        <w:t xml:space="preserve"> 1 </w:t>
      </w:r>
      <w:r w:rsidRPr="00A01D5D">
        <w:rPr>
          <w:rFonts w:ascii="Kokila" w:hAnsi="Kokila" w:cs="Kokila" w:hint="cs"/>
          <w:b/>
          <w:bCs/>
          <w:sz w:val="40"/>
          <w:szCs w:val="40"/>
          <w:cs/>
          <w:lang w:bidi="hi-IN"/>
        </w:rPr>
        <w:t>मानक</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तरीके</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संकर्षण</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वाहनों</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की</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मशीनों</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को</w:t>
      </w:r>
      <w:r w:rsidRPr="00A01D5D">
        <w:rPr>
          <w:rFonts w:ascii="Kokila" w:hAnsi="Kokila" w:cs="Kokila"/>
          <w:b/>
          <w:bCs/>
          <w:sz w:val="40"/>
          <w:szCs w:val="40"/>
          <w:cs/>
          <w:lang w:bidi="hi-IN"/>
        </w:rPr>
        <w:t xml:space="preserve"> </w:t>
      </w:r>
      <w:r w:rsidRPr="00A01D5D">
        <w:rPr>
          <w:rFonts w:ascii="Kokila" w:hAnsi="Kokila" w:cs="Kokila" w:hint="cs"/>
          <w:b/>
          <w:bCs/>
          <w:sz w:val="40"/>
          <w:szCs w:val="40"/>
          <w:cs/>
          <w:lang w:bidi="hi-IN"/>
        </w:rPr>
        <w:t>छोड़कर</w:t>
      </w:r>
      <w:r w:rsidRPr="00A01D5D">
        <w:rPr>
          <w:rFonts w:ascii="Kokila" w:hAnsi="Kokila" w:cs="Kokila"/>
          <w:b/>
          <w:bCs/>
          <w:sz w:val="40"/>
          <w:szCs w:val="40"/>
          <w:cs/>
          <w:lang w:bidi="hi-IN"/>
        </w:rPr>
        <w:t xml:space="preserve"> )</w:t>
      </w:r>
    </w:p>
    <w:p w14:paraId="4758818B" w14:textId="77777777" w:rsidR="00EC3C36" w:rsidRPr="00360E1F" w:rsidRDefault="00EC3C36" w:rsidP="00EC3C36">
      <w:pPr>
        <w:pStyle w:val="BodyText"/>
        <w:ind w:left="3780"/>
        <w:jc w:val="center"/>
        <w:rPr>
          <w:rFonts w:ascii="Kokila" w:hAnsi="Kokila" w:cs="Kokila"/>
          <w:i/>
          <w:iCs/>
          <w:sz w:val="28"/>
          <w:szCs w:val="28"/>
          <w:cs/>
          <w:lang w:bidi="hi-IN"/>
        </w:rPr>
      </w:pPr>
      <w:r w:rsidRPr="00360E1F">
        <w:rPr>
          <w:rFonts w:ascii="Kokila" w:hAnsi="Kokila" w:cs="Kokila" w:hint="cs"/>
          <w:i/>
          <w:iCs/>
          <w:sz w:val="40"/>
          <w:szCs w:val="40"/>
          <w:cs/>
          <w:lang w:bidi="hi-IN"/>
        </w:rPr>
        <w:t>(</w:t>
      </w:r>
      <w:r w:rsidR="00F73A58" w:rsidRPr="00F73A58">
        <w:rPr>
          <w:rFonts w:ascii="Kokila" w:hAnsi="Kokila" w:cs="Kokila" w:hint="cs"/>
          <w:i/>
          <w:iCs/>
          <w:sz w:val="40"/>
          <w:szCs w:val="40"/>
          <w:cs/>
          <w:lang w:bidi="hi-IN"/>
        </w:rPr>
        <w:t>दूसरा</w:t>
      </w:r>
      <w:r w:rsidR="00F73A58" w:rsidRPr="00F73A58">
        <w:rPr>
          <w:rFonts w:ascii="Kokila" w:hAnsi="Kokila" w:cs="Kokila"/>
          <w:i/>
          <w:iCs/>
          <w:sz w:val="40"/>
          <w:szCs w:val="40"/>
          <w:cs/>
          <w:lang w:bidi="hi-IN"/>
        </w:rPr>
        <w:t xml:space="preserve"> </w:t>
      </w:r>
      <w:r w:rsidR="00F73A58" w:rsidRPr="00F73A58">
        <w:rPr>
          <w:rFonts w:ascii="Kokila" w:hAnsi="Kokila" w:cs="Kokila" w:hint="cs"/>
          <w:i/>
          <w:iCs/>
          <w:sz w:val="40"/>
          <w:szCs w:val="40"/>
          <w:cs/>
          <w:lang w:bidi="hi-IN"/>
        </w:rPr>
        <w:t>पुनरीक्षण</w:t>
      </w:r>
      <w:r w:rsidRPr="00360E1F">
        <w:rPr>
          <w:rFonts w:ascii="Kokila" w:hAnsi="Kokila" w:cs="Kokila" w:hint="cs"/>
          <w:i/>
          <w:iCs/>
          <w:sz w:val="40"/>
          <w:szCs w:val="40"/>
          <w:cs/>
          <w:lang w:bidi="hi-IN"/>
        </w:rPr>
        <w:t>)</w:t>
      </w:r>
    </w:p>
    <w:p w14:paraId="1048FAE7" w14:textId="57297E05" w:rsidR="00241081" w:rsidRPr="00B465A4" w:rsidRDefault="00241081" w:rsidP="00C53688">
      <w:pPr>
        <w:pStyle w:val="BodyText"/>
        <w:ind w:left="3780"/>
        <w:jc w:val="center"/>
        <w:rPr>
          <w:rFonts w:ascii="Kokila" w:hAnsi="Kokila" w:cs="Kokila"/>
          <w:b/>
          <w:bCs/>
          <w:sz w:val="40"/>
          <w:szCs w:val="40"/>
        </w:rPr>
      </w:pPr>
    </w:p>
    <w:p w14:paraId="5ACE1B4D" w14:textId="77777777" w:rsidR="00F73A58" w:rsidRDefault="00F73A58" w:rsidP="001C462F">
      <w:pPr>
        <w:pStyle w:val="BodyText"/>
        <w:ind w:left="3780"/>
        <w:jc w:val="center"/>
        <w:rPr>
          <w:rFonts w:ascii="Arial" w:hAnsi="Arial" w:cs="Arial"/>
          <w:b/>
          <w:bCs/>
          <w:sz w:val="36"/>
          <w:szCs w:val="36"/>
        </w:rPr>
      </w:pPr>
      <w:r w:rsidRPr="00F73A58">
        <w:rPr>
          <w:rFonts w:ascii="Arial" w:hAnsi="Arial" w:cs="Arial"/>
          <w:b/>
          <w:bCs/>
          <w:sz w:val="36"/>
          <w:szCs w:val="36"/>
        </w:rPr>
        <w:t>Rotating Electrical Machines</w:t>
      </w:r>
    </w:p>
    <w:p w14:paraId="2FFA3955" w14:textId="77777777" w:rsidR="00A36C45" w:rsidRPr="00A36C45" w:rsidRDefault="00A36C45" w:rsidP="001C462F">
      <w:pPr>
        <w:pStyle w:val="BodyText"/>
        <w:ind w:left="3780"/>
        <w:jc w:val="center"/>
        <w:rPr>
          <w:rFonts w:ascii="Arial" w:hAnsi="Arial" w:cs="Arial"/>
          <w:b/>
          <w:bCs/>
          <w:sz w:val="12"/>
          <w:szCs w:val="12"/>
        </w:rPr>
      </w:pPr>
    </w:p>
    <w:p w14:paraId="2D763BFC" w14:textId="77777777" w:rsidR="00A36C45" w:rsidRDefault="00F73A58" w:rsidP="001C462F">
      <w:pPr>
        <w:pStyle w:val="BodyText"/>
        <w:ind w:left="3780"/>
        <w:jc w:val="center"/>
        <w:rPr>
          <w:rFonts w:ascii="Arial" w:hAnsi="Arial" w:cs="Arial"/>
          <w:b/>
          <w:bCs/>
          <w:sz w:val="32"/>
          <w:szCs w:val="32"/>
        </w:rPr>
      </w:pPr>
      <w:r w:rsidRPr="00A36C45">
        <w:rPr>
          <w:rFonts w:ascii="Arial" w:hAnsi="Arial" w:cs="Arial"/>
          <w:b/>
          <w:bCs/>
          <w:sz w:val="32"/>
          <w:szCs w:val="32"/>
        </w:rPr>
        <w:t xml:space="preserve">Part 2 for </w:t>
      </w:r>
      <w:r w:rsidR="00A36C45" w:rsidRPr="00A36C45">
        <w:rPr>
          <w:rFonts w:ascii="Arial" w:hAnsi="Arial" w:cs="Arial"/>
          <w:b/>
          <w:bCs/>
          <w:sz w:val="32"/>
          <w:szCs w:val="32"/>
        </w:rPr>
        <w:t xml:space="preserve">Determining Losses </w:t>
      </w:r>
      <w:r w:rsidRPr="00A36C45">
        <w:rPr>
          <w:rFonts w:ascii="Arial" w:hAnsi="Arial" w:cs="Arial"/>
          <w:b/>
          <w:bCs/>
          <w:sz w:val="32"/>
          <w:szCs w:val="32"/>
        </w:rPr>
        <w:t>and</w:t>
      </w:r>
      <w:r w:rsidR="00A36C45">
        <w:rPr>
          <w:rFonts w:ascii="Arial" w:hAnsi="Arial" w:cs="Arial"/>
          <w:b/>
          <w:bCs/>
          <w:sz w:val="32"/>
          <w:szCs w:val="32"/>
        </w:rPr>
        <w:t xml:space="preserve"> </w:t>
      </w:r>
      <w:r w:rsidR="00A36C45" w:rsidRPr="00A36C45">
        <w:rPr>
          <w:rFonts w:ascii="Arial" w:hAnsi="Arial" w:cs="Arial"/>
          <w:b/>
          <w:bCs/>
          <w:sz w:val="32"/>
          <w:szCs w:val="32"/>
        </w:rPr>
        <w:t xml:space="preserve">Efficiency </w:t>
      </w:r>
      <w:r w:rsidRPr="00A36C45">
        <w:rPr>
          <w:rFonts w:ascii="Arial" w:hAnsi="Arial" w:cs="Arial"/>
          <w:b/>
          <w:bCs/>
          <w:sz w:val="32"/>
          <w:szCs w:val="32"/>
        </w:rPr>
        <w:t xml:space="preserve">from </w:t>
      </w:r>
      <w:r w:rsidR="00A36C45" w:rsidRPr="00A36C45">
        <w:rPr>
          <w:rFonts w:ascii="Arial" w:hAnsi="Arial" w:cs="Arial"/>
          <w:b/>
          <w:bCs/>
          <w:sz w:val="32"/>
          <w:szCs w:val="32"/>
        </w:rPr>
        <w:t>Tests</w:t>
      </w:r>
    </w:p>
    <w:p w14:paraId="2BE7FEAD" w14:textId="77777777" w:rsidR="00A36C45" w:rsidRPr="00A36C45" w:rsidRDefault="00A36C45" w:rsidP="001C462F">
      <w:pPr>
        <w:pStyle w:val="BodyText"/>
        <w:ind w:left="3780"/>
        <w:jc w:val="center"/>
        <w:rPr>
          <w:rFonts w:ascii="Arial" w:hAnsi="Arial" w:cs="Arial"/>
          <w:b/>
          <w:bCs/>
          <w:sz w:val="16"/>
          <w:szCs w:val="16"/>
        </w:rPr>
      </w:pPr>
    </w:p>
    <w:p w14:paraId="7E21FB4D" w14:textId="77777777" w:rsidR="00F73A58" w:rsidRPr="00A36C45" w:rsidRDefault="00A36C45" w:rsidP="001C462F">
      <w:pPr>
        <w:pStyle w:val="BodyText"/>
        <w:ind w:left="3780"/>
        <w:jc w:val="center"/>
        <w:rPr>
          <w:rFonts w:ascii="Arial" w:hAnsi="Arial" w:cs="Arial"/>
          <w:b/>
          <w:bCs/>
          <w:sz w:val="28"/>
          <w:szCs w:val="28"/>
        </w:rPr>
      </w:pPr>
      <w:r w:rsidRPr="00A36C45">
        <w:rPr>
          <w:rFonts w:ascii="Arial" w:hAnsi="Arial" w:cs="Arial"/>
          <w:b/>
          <w:bCs/>
          <w:sz w:val="28"/>
          <w:szCs w:val="28"/>
        </w:rPr>
        <w:t xml:space="preserve">Section 1 Standard Methods (Excluding Machines </w:t>
      </w:r>
      <w:r w:rsidR="00F73A58" w:rsidRPr="00A36C45">
        <w:rPr>
          <w:rFonts w:ascii="Arial" w:hAnsi="Arial" w:cs="Arial"/>
          <w:b/>
          <w:bCs/>
          <w:sz w:val="28"/>
          <w:szCs w:val="28"/>
        </w:rPr>
        <w:t xml:space="preserve">for </w:t>
      </w:r>
      <w:r w:rsidRPr="00A36C45">
        <w:rPr>
          <w:rFonts w:ascii="Arial" w:hAnsi="Arial" w:cs="Arial"/>
          <w:b/>
          <w:bCs/>
          <w:sz w:val="28"/>
          <w:szCs w:val="28"/>
        </w:rPr>
        <w:t>Traction Vehicles)</w:t>
      </w:r>
    </w:p>
    <w:p w14:paraId="78B2AB9C" w14:textId="77777777" w:rsidR="00A36C45" w:rsidRPr="00A36C45" w:rsidRDefault="00A36C45" w:rsidP="00C53688">
      <w:pPr>
        <w:pStyle w:val="BodyText"/>
        <w:ind w:left="3780"/>
        <w:jc w:val="center"/>
        <w:rPr>
          <w:i/>
          <w:iCs/>
          <w:sz w:val="20"/>
          <w:szCs w:val="20"/>
        </w:rPr>
      </w:pPr>
    </w:p>
    <w:p w14:paraId="796E7C93" w14:textId="77777777" w:rsidR="00C53688" w:rsidRPr="00EC3C36" w:rsidRDefault="00EC3C36" w:rsidP="00C53688">
      <w:pPr>
        <w:pStyle w:val="BodyText"/>
        <w:ind w:left="3780"/>
        <w:jc w:val="center"/>
        <w:rPr>
          <w:rFonts w:ascii="Arial" w:hAnsi="Arial" w:cs="Arial"/>
          <w:b/>
          <w:bCs/>
          <w:i/>
          <w:iCs/>
          <w:sz w:val="28"/>
          <w:szCs w:val="28"/>
        </w:rPr>
      </w:pPr>
      <w:r w:rsidRPr="00EC3C36">
        <w:rPr>
          <w:i/>
          <w:iCs/>
          <w:sz w:val="28"/>
          <w:szCs w:val="28"/>
        </w:rPr>
        <w:t>(</w:t>
      </w:r>
      <w:r w:rsidR="00A36C45">
        <w:rPr>
          <w:i/>
          <w:iCs/>
          <w:sz w:val="28"/>
          <w:szCs w:val="28"/>
        </w:rPr>
        <w:t>Second</w:t>
      </w:r>
      <w:r w:rsidRPr="00EC3C36">
        <w:rPr>
          <w:i/>
          <w:iCs/>
          <w:sz w:val="28"/>
          <w:szCs w:val="28"/>
        </w:rPr>
        <w:t xml:space="preserve"> Revision)</w:t>
      </w:r>
    </w:p>
    <w:p w14:paraId="1EAE0BD1" w14:textId="77777777" w:rsidR="00360E1F" w:rsidRDefault="00360E1F" w:rsidP="00EA5F53">
      <w:pPr>
        <w:pStyle w:val="BodyText"/>
        <w:ind w:left="3780"/>
        <w:jc w:val="center"/>
        <w:rPr>
          <w:rFonts w:asciiTheme="minorBidi" w:hAnsiTheme="minorBidi" w:cstheme="minorBidi"/>
          <w:bCs/>
          <w:i/>
          <w:iCs/>
          <w:sz w:val="28"/>
          <w:szCs w:val="28"/>
          <w:lang w:bidi="hi-IN"/>
        </w:rPr>
      </w:pPr>
    </w:p>
    <w:p w14:paraId="16080082" w14:textId="77777777" w:rsidR="001F7066" w:rsidRPr="00EA5F53" w:rsidRDefault="005314D0" w:rsidP="00EA5F53">
      <w:pPr>
        <w:pStyle w:val="BodyText"/>
        <w:ind w:left="3780"/>
        <w:jc w:val="center"/>
        <w:rPr>
          <w:rFonts w:ascii="Arial" w:hAnsi="Arial" w:cs="Arial"/>
        </w:rPr>
      </w:pPr>
      <w:r w:rsidRPr="005314D0">
        <w:rPr>
          <w:rFonts w:ascii="Arial" w:hAnsi="Arial" w:cs="Arial"/>
        </w:rPr>
        <w:t>ICS 29.160.01</w:t>
      </w:r>
      <w:r>
        <w:rPr>
          <w:rFonts w:ascii="ArialMT" w:eastAsiaTheme="minorHAnsi" w:hAnsi="ArialMT" w:cs="ArialMT"/>
          <w:sz w:val="16"/>
          <w:szCs w:val="16"/>
          <w:lang w:bidi="hi-IN"/>
        </w:rPr>
        <w:t xml:space="preserve"> </w:t>
      </w:r>
    </w:p>
    <w:p w14:paraId="4C083BD0" w14:textId="77777777" w:rsidR="001F7066" w:rsidRPr="00EA5F53" w:rsidRDefault="001F7066" w:rsidP="00EA5F53">
      <w:pPr>
        <w:pStyle w:val="BodyText"/>
        <w:ind w:left="3780"/>
        <w:jc w:val="center"/>
        <w:rPr>
          <w:rFonts w:ascii="Arial" w:hAnsi="Arial" w:cs="Arial"/>
        </w:rPr>
      </w:pPr>
    </w:p>
    <w:p w14:paraId="72EB8A6D" w14:textId="77777777" w:rsidR="001F7066" w:rsidRPr="00EA5F53" w:rsidRDefault="001F7066" w:rsidP="00EA5F53">
      <w:pPr>
        <w:pStyle w:val="BodyText"/>
        <w:ind w:left="3780"/>
        <w:jc w:val="center"/>
        <w:rPr>
          <w:rFonts w:ascii="Arial" w:hAnsi="Arial" w:cs="Arial"/>
        </w:rPr>
      </w:pPr>
    </w:p>
    <w:p w14:paraId="512A7F11" w14:textId="77777777" w:rsidR="001F7066" w:rsidRDefault="001F7066" w:rsidP="00EA5F53">
      <w:pPr>
        <w:pStyle w:val="BodyText"/>
        <w:ind w:left="3780"/>
        <w:jc w:val="center"/>
        <w:rPr>
          <w:rFonts w:ascii="Arial" w:hAnsi="Arial" w:cs="Arial"/>
        </w:rPr>
      </w:pPr>
    </w:p>
    <w:p w14:paraId="66599899" w14:textId="77777777" w:rsidR="001C462F" w:rsidRDefault="001C462F" w:rsidP="00EA5F53">
      <w:pPr>
        <w:pStyle w:val="BodyText"/>
        <w:ind w:left="3780"/>
        <w:jc w:val="center"/>
        <w:rPr>
          <w:rFonts w:ascii="Arial" w:hAnsi="Arial" w:cs="Arial"/>
        </w:rPr>
      </w:pPr>
    </w:p>
    <w:p w14:paraId="22C8C6CD" w14:textId="77777777" w:rsidR="00B465A4" w:rsidRDefault="00B465A4" w:rsidP="00EA5F53">
      <w:pPr>
        <w:pStyle w:val="BodyText"/>
        <w:ind w:left="3780"/>
        <w:jc w:val="center"/>
        <w:rPr>
          <w:rFonts w:ascii="Arial" w:hAnsi="Arial" w:cs="Arial"/>
        </w:rPr>
      </w:pPr>
    </w:p>
    <w:p w14:paraId="1640153A" w14:textId="77777777" w:rsidR="001F7066" w:rsidRPr="00EA5F53" w:rsidRDefault="00735069" w:rsidP="00EA5F53">
      <w:pPr>
        <w:pStyle w:val="BodyText"/>
        <w:ind w:left="3780"/>
        <w:jc w:val="center"/>
        <w:rPr>
          <w:rFonts w:ascii="Arial" w:hAnsi="Arial" w:cs="Arial"/>
        </w:rPr>
      </w:pPr>
      <w:r w:rsidRPr="00EA5F53">
        <w:rPr>
          <w:rFonts w:ascii="Arial" w:hAnsi="Arial" w:cs="Arial"/>
        </w:rPr>
        <w:t xml:space="preserve">© </w:t>
      </w:r>
      <w:r w:rsidR="00F30B65">
        <w:rPr>
          <w:rFonts w:ascii="Arial" w:hAnsi="Arial" w:cs="Arial"/>
        </w:rPr>
        <w:t>BIS 2024</w:t>
      </w:r>
    </w:p>
    <w:p w14:paraId="337B1E46" w14:textId="77777777" w:rsidR="00EA7F06" w:rsidRPr="00EA5F53" w:rsidRDefault="00EA7F06" w:rsidP="00EA5F53">
      <w:pPr>
        <w:pStyle w:val="BodyText"/>
        <w:ind w:left="3780"/>
        <w:jc w:val="center"/>
        <w:rPr>
          <w:rFonts w:ascii="Arial" w:hAnsi="Arial" w:cs="Arial"/>
        </w:rPr>
      </w:pPr>
      <w:r w:rsidRPr="00EA5F53">
        <w:rPr>
          <w:rFonts w:ascii="Arial" w:hAnsi="Arial" w:cs="Arial"/>
        </w:rPr>
        <w:t xml:space="preserve">© IEC </w:t>
      </w:r>
      <w:r w:rsidR="00C53688">
        <w:rPr>
          <w:rFonts w:ascii="Arial" w:hAnsi="Arial" w:cs="Arial"/>
        </w:rPr>
        <w:t>202</w:t>
      </w:r>
      <w:r w:rsidR="00A36C45">
        <w:rPr>
          <w:rFonts w:ascii="Arial" w:hAnsi="Arial" w:cs="Arial"/>
        </w:rPr>
        <w:t>4</w:t>
      </w:r>
    </w:p>
    <w:p w14:paraId="154532DB" w14:textId="77777777" w:rsidR="00EA7F06" w:rsidRPr="00473F72" w:rsidRDefault="00EA7F06" w:rsidP="00EA5F53">
      <w:pPr>
        <w:widowControl/>
        <w:autoSpaceDE/>
        <w:autoSpaceDN/>
        <w:ind w:left="3870"/>
        <w:jc w:val="center"/>
        <w:rPr>
          <w:rFonts w:ascii="Arial" w:hAnsi="Arial" w:cs="Arial"/>
          <w:sz w:val="10"/>
          <w:szCs w:val="24"/>
        </w:rPr>
      </w:pPr>
    </w:p>
    <w:p w14:paraId="1EEC6DDA" w14:textId="77777777" w:rsidR="0007671F" w:rsidRDefault="00EA7F06" w:rsidP="0007671F">
      <w:pPr>
        <w:widowControl/>
        <w:autoSpaceDE/>
        <w:autoSpaceDN/>
        <w:spacing w:after="120"/>
        <w:ind w:left="3870"/>
        <w:jc w:val="center"/>
        <w:rPr>
          <w:rFonts w:ascii="Arial" w:hAnsi="Arial" w:cs="Arial"/>
          <w:sz w:val="24"/>
          <w:szCs w:val="24"/>
        </w:rPr>
      </w:pPr>
      <w:r w:rsidRPr="00473F72">
        <w:rPr>
          <w:rFonts w:ascii="Arial" w:hAnsi="Arial" w:cs="Arial"/>
          <w:noProof/>
          <w:sz w:val="24"/>
          <w:lang w:bidi="hi-IN"/>
        </w:rPr>
        <w:drawing>
          <wp:inline distT="0" distB="0" distL="0" distR="0" wp14:anchorId="265805D5" wp14:editId="19E476D3">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14:paraId="56AD1A3F" w14:textId="25AAA799" w:rsidR="001F7066" w:rsidRPr="0007671F" w:rsidRDefault="0007671F" w:rsidP="0007671F">
      <w:pPr>
        <w:widowControl/>
        <w:autoSpaceDE/>
        <w:autoSpaceDN/>
        <w:spacing w:after="120"/>
        <w:ind w:left="3870"/>
        <w:jc w:val="center"/>
        <w:rPr>
          <w:rFonts w:ascii="Arial" w:hAnsi="Arial" w:cs="Arial"/>
          <w:sz w:val="24"/>
          <w:szCs w:val="24"/>
        </w:rPr>
      </w:pPr>
      <w:r>
        <w:rPr>
          <w:noProof/>
        </w:rPr>
        <w:pict w14:anchorId="1BBE86A8">
          <v:group id="Group 18" o:spid="_x0000_s1039" style="position:absolute;left:0;text-align:left;margin-left:158.25pt;margin-top:11pt;width:325.9pt;height:4.25pt;flip:y;z-index:-15724544" coordsize="6347,100">
            <v:line id="Line 9" o:spid="_x0000_s1042" style="position:absolute;visibility:visible" from="0,10" to="6346,10" o:connectortype="straight" strokecolor="#231f20" strokeweight="1pt"/>
            <v:line id="Line 10" o:spid="_x0000_s1041" style="position:absolute;visibility:visible" from="0,50" to="6346,50" o:connectortype="straight" strokecolor="#231f20" strokeweight="1pt"/>
            <v:line id="Line 11" o:spid="_x0000_s1040" style="position:absolute;visibility:visible" from="0,90" to="6346,90" o:connectortype="straight" strokecolor="#231f20" strokeweight="1pt"/>
          </v:group>
        </w:pict>
      </w:r>
    </w:p>
    <w:p w14:paraId="034D26BE" w14:textId="77777777" w:rsidR="008D0FBB" w:rsidRPr="00F5481D" w:rsidRDefault="008D0FBB" w:rsidP="0007671F">
      <w:pPr>
        <w:pStyle w:val="BodyText"/>
        <w:ind w:left="4320"/>
        <w:jc w:val="center"/>
        <w:rPr>
          <w:rFonts w:ascii="Kokila" w:hAnsi="Kokila" w:cs="Kokila"/>
          <w:b/>
          <w:caps/>
          <w:sz w:val="28"/>
          <w:szCs w:val="28"/>
        </w:rPr>
      </w:pPr>
      <w:r w:rsidRPr="00F5481D">
        <w:rPr>
          <w:rFonts w:ascii="Kokila" w:hAnsi="Kokila" w:cs="Kokila"/>
          <w:caps/>
          <w:sz w:val="28"/>
          <w:szCs w:val="28"/>
          <w:cs/>
          <w:lang w:bidi="hi-IN"/>
        </w:rPr>
        <w:t>भारतीय मानक ब्यूरो</w:t>
      </w:r>
    </w:p>
    <w:p w14:paraId="41D405E3" w14:textId="62FC66F2" w:rsidR="008D0FBB" w:rsidRPr="00F5481D" w:rsidRDefault="005F0A56" w:rsidP="0007671F">
      <w:pPr>
        <w:pStyle w:val="BodyText"/>
        <w:ind w:left="4320"/>
        <w:jc w:val="center"/>
        <w:rPr>
          <w:rFonts w:ascii="Arial" w:hAnsi="Arial" w:cs="Arial"/>
          <w:color w:val="231F20"/>
          <w:spacing w:val="22"/>
          <w:lang w:bidi="hi-IN"/>
        </w:rPr>
      </w:pPr>
      <w:r>
        <w:rPr>
          <w:rFonts w:ascii="Kokila" w:hAnsi="Kokila" w:cs="Kokila"/>
          <w:b/>
          <w:bCs/>
          <w:noProof/>
          <w:sz w:val="28"/>
          <w:szCs w:val="28"/>
          <w:lang w:val="en-IN"/>
        </w:rPr>
        <w:object w:dxaOrig="1440" w:dyaOrig="1440" w14:anchorId="7740A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35.75pt;margin-top:5.05pt;width:59.7pt;height:59.7pt;z-index:487590912" o:allowincell="f">
            <v:imagedata r:id="rId8" o:title=""/>
          </v:shape>
          <o:OLEObject Type="Embed" ProgID="MSPhotoEd.3" ShapeID="_x0000_s1038" DrawAspect="Content" ObjectID="_1791727111" r:id="rId9"/>
        </w:object>
      </w:r>
      <w:r w:rsidR="008D0FBB" w:rsidRPr="00F5481D">
        <w:rPr>
          <w:rFonts w:ascii="Arial" w:hAnsi="Arial" w:cs="Arial"/>
          <w:color w:val="231F20"/>
          <w:spacing w:val="22"/>
        </w:rPr>
        <w:t>BUREAU OF INDIAN STANDARDS</w:t>
      </w:r>
    </w:p>
    <w:p w14:paraId="7DF2BE83" w14:textId="77777777" w:rsidR="008D0FBB" w:rsidRPr="00F5481D" w:rsidRDefault="008D0FBB" w:rsidP="0007671F">
      <w:pPr>
        <w:pStyle w:val="BodyText"/>
        <w:ind w:left="4320"/>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6483B1C1" w14:textId="77777777" w:rsidR="008D0FBB" w:rsidRPr="00F5481D" w:rsidRDefault="008D0FBB" w:rsidP="0007671F">
      <w:pPr>
        <w:pStyle w:val="BodyText"/>
        <w:ind w:left="4320"/>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p>
    <w:p w14:paraId="2B473738" w14:textId="77777777" w:rsidR="008D0FBB" w:rsidRPr="00F5481D" w:rsidRDefault="008D0FBB" w:rsidP="0007671F">
      <w:pPr>
        <w:pStyle w:val="BodyText"/>
        <w:ind w:left="4320"/>
        <w:jc w:val="center"/>
        <w:rPr>
          <w:rFonts w:ascii="Arial" w:hAnsi="Arial" w:cs="Arial"/>
          <w:color w:val="231F20"/>
        </w:rPr>
      </w:pPr>
      <w:r w:rsidRPr="00F5481D">
        <w:rPr>
          <w:rFonts w:ascii="Arial" w:hAnsi="Arial" w:cs="Arial"/>
          <w:color w:val="231F20"/>
        </w:rPr>
        <w:t>NEW DELHI - 110002</w:t>
      </w:r>
    </w:p>
    <w:p w14:paraId="135341B3" w14:textId="77777777" w:rsidR="0007671F" w:rsidRDefault="008D0FBB" w:rsidP="0007671F">
      <w:pPr>
        <w:pStyle w:val="BodyText"/>
        <w:ind w:left="4320"/>
        <w:jc w:val="center"/>
        <w:rPr>
          <w:rFonts w:ascii="Arial" w:hAnsi="Arial" w:cs="Arial"/>
          <w:color w:val="0000FF"/>
          <w:u w:val="single"/>
        </w:rPr>
      </w:pPr>
      <w:hyperlink r:id="rId10" w:history="1">
        <w:r w:rsidRPr="00F5481D">
          <w:rPr>
            <w:rFonts w:ascii="Arial" w:hAnsi="Arial" w:cs="Arial"/>
            <w:color w:val="0000FF"/>
            <w:u w:val="single"/>
          </w:rPr>
          <w:t>www.bis.gov.in</w:t>
        </w:r>
      </w:hyperlink>
      <w:r w:rsidRPr="00F5481D">
        <w:rPr>
          <w:rFonts w:ascii="Arial" w:hAnsi="Arial" w:cs="Arial"/>
          <w:sz w:val="20"/>
        </w:rPr>
        <w:t xml:space="preserve">     </w:t>
      </w:r>
      <w:hyperlink r:id="rId11" w:history="1">
        <w:r w:rsidRPr="00F5481D">
          <w:rPr>
            <w:rFonts w:ascii="Arial" w:hAnsi="Arial" w:cs="Arial"/>
            <w:color w:val="0000FF"/>
            <w:u w:val="single"/>
          </w:rPr>
          <w:t>www.standardsbis.in</w:t>
        </w:r>
      </w:hyperlink>
    </w:p>
    <w:p w14:paraId="00C2DC82" w14:textId="30DF465B" w:rsidR="008D0FBB" w:rsidRDefault="00B465A4" w:rsidP="0007671F">
      <w:pPr>
        <w:pStyle w:val="BodyText"/>
        <w:ind w:left="4320"/>
        <w:rPr>
          <w:rFonts w:ascii="Arial" w:hAnsi="Arial" w:cs="Arial"/>
          <w:b/>
        </w:rPr>
      </w:pPr>
      <w:r>
        <w:rPr>
          <w:rFonts w:ascii="Arial" w:hAnsi="Arial" w:cs="Arial"/>
          <w:b/>
        </w:rPr>
        <w:lastRenderedPageBreak/>
        <w:t>November</w:t>
      </w:r>
      <w:r w:rsidR="00F30B65">
        <w:rPr>
          <w:rFonts w:ascii="Arial" w:hAnsi="Arial" w:cs="Arial"/>
          <w:b/>
        </w:rPr>
        <w:t xml:space="preserve"> 2024</w:t>
      </w:r>
      <w:r w:rsidR="008D0FBB" w:rsidRPr="00F5481D">
        <w:rPr>
          <w:rFonts w:ascii="Arial" w:hAnsi="Arial" w:cs="Arial"/>
          <w:b/>
        </w:rPr>
        <w:t xml:space="preserve">                      </w:t>
      </w:r>
      <w:r w:rsidR="008D0FBB">
        <w:rPr>
          <w:rFonts w:ascii="Arial" w:hAnsi="Arial" w:cs="Arial"/>
          <w:b/>
        </w:rPr>
        <w:t>Price Group</w:t>
      </w:r>
    </w:p>
    <w:p w14:paraId="4E92227F" w14:textId="77777777" w:rsidR="00F3384B" w:rsidRPr="009433F3" w:rsidRDefault="001F7066" w:rsidP="009D0042">
      <w:pPr>
        <w:pStyle w:val="BodyText"/>
        <w:rPr>
          <w:spacing w:val="-5"/>
        </w:rPr>
      </w:pPr>
      <w:r>
        <w:br w:type="page"/>
      </w:r>
      <w:r w:rsidR="00241081" w:rsidRPr="00634B49">
        <w:lastRenderedPageBreak/>
        <w:t>Rotating Machinery</w:t>
      </w:r>
      <w:r w:rsidR="00241081">
        <w:rPr>
          <w:rFonts w:ascii="Segoe UI" w:hAnsi="Segoe UI" w:cs="Segoe UI"/>
          <w:b/>
          <w:bCs/>
          <w:color w:val="000000"/>
          <w:shd w:val="clear" w:color="auto" w:fill="FFFFFF"/>
        </w:rPr>
        <w:t xml:space="preserve"> </w:t>
      </w:r>
      <w:r w:rsidR="00241081">
        <w:t xml:space="preserve">Sectional </w:t>
      </w:r>
      <w:r w:rsidRPr="009433F3">
        <w:t>Committee,</w:t>
      </w:r>
      <w:r w:rsidRPr="009433F3">
        <w:rPr>
          <w:spacing w:val="-1"/>
        </w:rPr>
        <w:t xml:space="preserve"> </w:t>
      </w:r>
      <w:r w:rsidRPr="009433F3">
        <w:t>ETD</w:t>
      </w:r>
      <w:r w:rsidRPr="009433F3">
        <w:rPr>
          <w:spacing w:val="-2"/>
        </w:rPr>
        <w:t xml:space="preserve"> </w:t>
      </w:r>
      <w:r w:rsidR="00241081">
        <w:rPr>
          <w:spacing w:val="-5"/>
        </w:rPr>
        <w:t>15</w:t>
      </w:r>
      <w:r w:rsidR="00E1746A">
        <w:rPr>
          <w:spacing w:val="-5"/>
        </w:rPr>
        <w:t xml:space="preserve"> </w:t>
      </w:r>
    </w:p>
    <w:p w14:paraId="57422F9D" w14:textId="77777777" w:rsidR="000E32D7" w:rsidRDefault="000E32D7" w:rsidP="00A36C45">
      <w:pPr>
        <w:pStyle w:val="BodyText"/>
        <w:jc w:val="both"/>
      </w:pPr>
    </w:p>
    <w:p w14:paraId="2129784C" w14:textId="77777777" w:rsidR="00EC3F66" w:rsidRDefault="00EC3F66" w:rsidP="00A36C45">
      <w:pPr>
        <w:pStyle w:val="BodyText"/>
        <w:jc w:val="both"/>
      </w:pPr>
    </w:p>
    <w:p w14:paraId="4EF8C26B" w14:textId="77777777" w:rsidR="00A36C45" w:rsidRDefault="00A36C45" w:rsidP="00A36C45">
      <w:pPr>
        <w:pStyle w:val="BodyText"/>
        <w:jc w:val="both"/>
      </w:pPr>
      <w:r w:rsidRPr="009433F3">
        <w:t>NATIONAL FOREWORD</w:t>
      </w:r>
    </w:p>
    <w:p w14:paraId="38474F4C" w14:textId="77777777" w:rsidR="00A36C45" w:rsidRDefault="00A36C45" w:rsidP="00A36C45">
      <w:pPr>
        <w:pStyle w:val="BodyText"/>
        <w:jc w:val="both"/>
      </w:pPr>
    </w:p>
    <w:p w14:paraId="22B9FAF1" w14:textId="77777777" w:rsidR="00A36C45" w:rsidRDefault="00212369" w:rsidP="00A36C45">
      <w:pPr>
        <w:pStyle w:val="BodyText"/>
        <w:jc w:val="both"/>
      </w:pPr>
      <w:r>
        <w:t xml:space="preserve">This </w:t>
      </w:r>
      <w:r w:rsidR="00A36C45">
        <w:t xml:space="preserve">Indian Standard (Second Revision) </w:t>
      </w:r>
      <w:r w:rsidR="00A36C45" w:rsidRPr="009433F3">
        <w:t xml:space="preserve">which is </w:t>
      </w:r>
      <w:r w:rsidR="00A36C45">
        <w:t>identical with IEC 60034-2-1:</w:t>
      </w:r>
      <w:r w:rsidR="00EC3F66">
        <w:t xml:space="preserve"> </w:t>
      </w:r>
      <w:r w:rsidR="00A36C45">
        <w:t>2024 </w:t>
      </w:r>
      <w:r w:rsidR="00A36C45" w:rsidRPr="0071594B">
        <w:t>‘</w:t>
      </w:r>
      <w:r w:rsidR="00A36C45" w:rsidRPr="00634B49">
        <w:t>Rotating electrical machines – Part 2-1: Standard methods for determining losses and efficiency from tests (excluding machines for traction vehicles)</w:t>
      </w:r>
      <w:r w:rsidR="00A36C45" w:rsidRPr="009433F3">
        <w:t xml:space="preserve">’ </w:t>
      </w:r>
      <w:r w:rsidR="004A3979" w:rsidRPr="009433F3">
        <w:t>issued</w:t>
      </w:r>
      <w:r w:rsidR="00A36C45" w:rsidRPr="009433F3">
        <w:t xml:space="preserve"> by the International Elect</w:t>
      </w:r>
      <w:r w:rsidR="00A36C45">
        <w:t>rotechnical Commission (IEC)</w:t>
      </w:r>
      <w:r w:rsidR="00EC3F66">
        <w:t xml:space="preserve"> was </w:t>
      </w:r>
      <w:r w:rsidR="00A36C45">
        <w:t>adopted</w:t>
      </w:r>
      <w:r w:rsidR="00A36C45" w:rsidRPr="00C10AAF">
        <w:t xml:space="preserve"> </w:t>
      </w:r>
      <w:r w:rsidR="00A36C45">
        <w:t xml:space="preserve">by </w:t>
      </w:r>
      <w:r w:rsidR="00A36C45" w:rsidRPr="00A83E2B">
        <w:rPr>
          <w:szCs w:val="32"/>
        </w:rPr>
        <w:t>the</w:t>
      </w:r>
      <w:r w:rsidR="00A36C45" w:rsidRPr="009433F3">
        <w:t xml:space="preserve"> Bureau of Indian Standards on the recommendation of the </w:t>
      </w:r>
      <w:r w:rsidR="00A36C45" w:rsidRPr="00634B49">
        <w:t>Rotating Machinery</w:t>
      </w:r>
      <w:r w:rsidR="00A36C45">
        <w:rPr>
          <w:rFonts w:ascii="Segoe UI" w:hAnsi="Segoe UI" w:cs="Segoe UI"/>
          <w:b/>
          <w:bCs/>
          <w:color w:val="000000"/>
          <w:shd w:val="clear" w:color="auto" w:fill="FFFFFF"/>
        </w:rPr>
        <w:t xml:space="preserve"> </w:t>
      </w:r>
      <w:r w:rsidR="00A36C45" w:rsidRPr="009433F3">
        <w:t xml:space="preserve">Sectional Committee and approval of the Electrotechnical Division Council. </w:t>
      </w:r>
    </w:p>
    <w:p w14:paraId="53DCAB58" w14:textId="77777777" w:rsidR="00A36C45" w:rsidRDefault="00A36C45" w:rsidP="00A36C45">
      <w:pPr>
        <w:pStyle w:val="BodyText"/>
        <w:jc w:val="both"/>
      </w:pPr>
    </w:p>
    <w:p w14:paraId="53A626DC" w14:textId="77777777" w:rsidR="00F33845" w:rsidRPr="00F33845" w:rsidRDefault="00F33845" w:rsidP="00F33845">
      <w:pPr>
        <w:pStyle w:val="BodyText"/>
        <w:jc w:val="both"/>
      </w:pPr>
      <w:r w:rsidRPr="000A670B">
        <w:t xml:space="preserve">This standard was originally published in </w:t>
      </w:r>
      <w:r>
        <w:t>2011</w:t>
      </w:r>
      <w:r w:rsidRPr="00F2069C">
        <w:t xml:space="preserve"> </w:t>
      </w:r>
      <w:r>
        <w:t>and subsequently revised in 2023</w:t>
      </w:r>
      <w:r w:rsidRPr="00F33845">
        <w:t>.</w:t>
      </w:r>
      <w:r>
        <w:t xml:space="preserve"> </w:t>
      </w:r>
      <w:r w:rsidR="0026010A">
        <w:t>Th</w:t>
      </w:r>
      <w:r w:rsidR="006B24BA">
        <w:t>e</w:t>
      </w:r>
      <w:r w:rsidR="0026010A">
        <w:t xml:space="preserve"> second revision (</w:t>
      </w:r>
      <w:r w:rsidR="004C5494" w:rsidRPr="00F33845">
        <w:t xml:space="preserve">Superseding </w:t>
      </w:r>
      <w:r w:rsidRPr="00F33845">
        <w:t xml:space="preserve">of </w:t>
      </w:r>
      <w:r w:rsidRPr="0081274E">
        <w:t xml:space="preserve">IS </w:t>
      </w:r>
      <w:r w:rsidRPr="00F33845">
        <w:t>15999 (Part 2/Sec 1</w:t>
      </w:r>
      <w:r w:rsidR="004C5494">
        <w:t>: 2023</w:t>
      </w:r>
      <w:r w:rsidRPr="00F33845">
        <w:t>) has been undertaken to align it with the latest version of</w:t>
      </w:r>
      <w:r w:rsidR="00211F75">
        <w:t xml:space="preserve"> </w:t>
      </w:r>
      <w:r w:rsidR="0081274E">
        <w:t>IEC 60034-2-1</w:t>
      </w:r>
      <w:r>
        <w:t>: 2024</w:t>
      </w:r>
      <w:r w:rsidRPr="00F33845">
        <w:t>.</w:t>
      </w:r>
    </w:p>
    <w:p w14:paraId="282DA23C" w14:textId="77777777" w:rsidR="00A36C45" w:rsidRDefault="00A36C45" w:rsidP="00A36C45">
      <w:pPr>
        <w:pStyle w:val="BodyText"/>
        <w:jc w:val="both"/>
      </w:pPr>
    </w:p>
    <w:p w14:paraId="79B5A93E" w14:textId="77777777" w:rsidR="005C7981" w:rsidRDefault="005C7981" w:rsidP="00A36C45">
      <w:pPr>
        <w:pStyle w:val="BodyText"/>
        <w:jc w:val="both"/>
      </w:pPr>
      <w:bookmarkStart w:id="0" w:name="This_standard_(Part_3/Sec_3)_covers_the_"/>
      <w:bookmarkStart w:id="1" w:name="The_text_of_the_IEC_Standard_has_been_ap"/>
      <w:bookmarkEnd w:id="0"/>
      <w:bookmarkEnd w:id="1"/>
      <w:r w:rsidRPr="005C7981">
        <w:t xml:space="preserve">On the recommendation of the Rotating Machinery Sectional Committee single numbering has </w:t>
      </w:r>
      <w:proofErr w:type="gramStart"/>
      <w:r w:rsidRPr="005C7981">
        <w:t>adopted</w:t>
      </w:r>
      <w:proofErr w:type="gramEnd"/>
      <w:r w:rsidRPr="005C7981">
        <w:t xml:space="preserve"> for IEC 60034 series to avoid confusion in use and implementation as experienced by industry, lab and other stakeholders.</w:t>
      </w:r>
    </w:p>
    <w:p w14:paraId="41C8E556" w14:textId="77777777" w:rsidR="005F0A56" w:rsidRDefault="005F0A56" w:rsidP="00A36C45">
      <w:pPr>
        <w:pStyle w:val="BodyText"/>
        <w:jc w:val="both"/>
      </w:pPr>
    </w:p>
    <w:p w14:paraId="25FAAF95" w14:textId="77777777" w:rsidR="005F0A56" w:rsidRDefault="005F0A56" w:rsidP="005F0A56">
      <w:pPr>
        <w:adjustRightInd w:val="0"/>
        <w:jc w:val="both"/>
        <w:rPr>
          <w:sz w:val="24"/>
          <w:szCs w:val="24"/>
        </w:rPr>
      </w:pPr>
      <w:r w:rsidRPr="002B0FC2">
        <w:rPr>
          <w:sz w:val="24"/>
          <w:szCs w:val="24"/>
        </w:rPr>
        <w:t>This standard is published in various parts. Other parts in this series are:</w:t>
      </w:r>
    </w:p>
    <w:p w14:paraId="1D2E9CA1" w14:textId="77777777" w:rsidR="005F0A56" w:rsidRPr="002B0FC2" w:rsidRDefault="005F0A56" w:rsidP="005F0A56">
      <w:pPr>
        <w:adjustRightInd w:val="0"/>
        <w:jc w:val="both"/>
        <w:rPr>
          <w:sz w:val="24"/>
          <w:szCs w:val="24"/>
        </w:rPr>
      </w:pPr>
    </w:p>
    <w:tbl>
      <w:tblPr>
        <w:tblStyle w:val="TableGrid"/>
        <w:tblW w:w="0" w:type="auto"/>
        <w:jc w:val="center"/>
        <w:tblLook w:val="04A0" w:firstRow="1" w:lastRow="0" w:firstColumn="1" w:lastColumn="0" w:noHBand="0" w:noVBand="1"/>
      </w:tblPr>
      <w:tblGrid>
        <w:gridCol w:w="1879"/>
        <w:gridCol w:w="7363"/>
      </w:tblGrid>
      <w:tr w:rsidR="005F0A56" w:rsidRPr="002B0FC2" w14:paraId="5BACCE1A" w14:textId="77777777" w:rsidTr="00CD739B">
        <w:trPr>
          <w:jc w:val="center"/>
        </w:trPr>
        <w:tc>
          <w:tcPr>
            <w:tcW w:w="1971" w:type="dxa"/>
          </w:tcPr>
          <w:p w14:paraId="203B9A7E" w14:textId="77777777" w:rsidR="005F0A56" w:rsidRPr="002B0FC2" w:rsidRDefault="005F0A56" w:rsidP="00CD739B">
            <w:pPr>
              <w:pStyle w:val="BodyText"/>
              <w:jc w:val="both"/>
            </w:pPr>
            <w:r>
              <w:t>Part 5</w:t>
            </w:r>
          </w:p>
        </w:tc>
        <w:tc>
          <w:tcPr>
            <w:tcW w:w="7934" w:type="dxa"/>
          </w:tcPr>
          <w:p w14:paraId="29A28A9F" w14:textId="77777777" w:rsidR="005F0A56" w:rsidRPr="004B6199" w:rsidRDefault="005F0A56" w:rsidP="00CD739B">
            <w:pPr>
              <w:pStyle w:val="BodyText"/>
              <w:tabs>
                <w:tab w:val="left" w:pos="3270"/>
              </w:tabs>
              <w:jc w:val="both"/>
              <w:rPr>
                <w:color w:val="000000"/>
              </w:rPr>
            </w:pPr>
            <w:r w:rsidRPr="00046CCA">
              <w:rPr>
                <w:color w:val="000000"/>
              </w:rPr>
              <w:t>Rotating electrical machines: Part 5 degrees of protection provided by the integral design of rotating electrical machines (IP Code) - Classification</w:t>
            </w:r>
          </w:p>
        </w:tc>
      </w:tr>
      <w:tr w:rsidR="005F0A56" w:rsidRPr="002B0FC2" w14:paraId="34B5558E" w14:textId="77777777" w:rsidTr="00CD739B">
        <w:trPr>
          <w:jc w:val="center"/>
        </w:trPr>
        <w:tc>
          <w:tcPr>
            <w:tcW w:w="1971" w:type="dxa"/>
          </w:tcPr>
          <w:p w14:paraId="0F6B9B35" w14:textId="77777777" w:rsidR="005F0A56" w:rsidRPr="002B0FC2" w:rsidRDefault="005F0A56" w:rsidP="00CD739B">
            <w:pPr>
              <w:rPr>
                <w:sz w:val="24"/>
                <w:szCs w:val="24"/>
              </w:rPr>
            </w:pPr>
            <w:r>
              <w:rPr>
                <w:sz w:val="24"/>
                <w:szCs w:val="24"/>
              </w:rPr>
              <w:t>Part 8</w:t>
            </w:r>
          </w:p>
        </w:tc>
        <w:tc>
          <w:tcPr>
            <w:tcW w:w="7934" w:type="dxa"/>
          </w:tcPr>
          <w:p w14:paraId="2E2DF8FA" w14:textId="77777777" w:rsidR="005F0A56" w:rsidRPr="004B6199" w:rsidRDefault="005F0A56" w:rsidP="00CD739B">
            <w:pPr>
              <w:pStyle w:val="BodyText"/>
              <w:tabs>
                <w:tab w:val="left" w:pos="3270"/>
              </w:tabs>
              <w:jc w:val="both"/>
              <w:rPr>
                <w:color w:val="000000"/>
              </w:rPr>
            </w:pPr>
            <w:r w:rsidRPr="00046CCA">
              <w:rPr>
                <w:color w:val="000000"/>
              </w:rPr>
              <w:t>Rotating Electrical Machines Part 8 Terminal Markings and Direction of Rotation</w:t>
            </w:r>
          </w:p>
        </w:tc>
      </w:tr>
      <w:tr w:rsidR="005F0A56" w:rsidRPr="002B0FC2" w14:paraId="7DC36B31" w14:textId="77777777" w:rsidTr="00CD739B">
        <w:trPr>
          <w:jc w:val="center"/>
        </w:trPr>
        <w:tc>
          <w:tcPr>
            <w:tcW w:w="1971" w:type="dxa"/>
          </w:tcPr>
          <w:p w14:paraId="2B9FEE0C" w14:textId="77777777" w:rsidR="005F0A56" w:rsidRPr="002B0FC2" w:rsidRDefault="005F0A56" w:rsidP="00CD739B">
            <w:pPr>
              <w:rPr>
                <w:sz w:val="24"/>
                <w:szCs w:val="24"/>
              </w:rPr>
            </w:pPr>
            <w:r>
              <w:rPr>
                <w:sz w:val="24"/>
                <w:szCs w:val="24"/>
              </w:rPr>
              <w:t>Part 27 Section 4</w:t>
            </w:r>
          </w:p>
        </w:tc>
        <w:tc>
          <w:tcPr>
            <w:tcW w:w="7934" w:type="dxa"/>
          </w:tcPr>
          <w:p w14:paraId="317C0473" w14:textId="77777777" w:rsidR="005F0A56" w:rsidRPr="002B0FC2" w:rsidRDefault="005F0A56" w:rsidP="00CD739B">
            <w:pPr>
              <w:pStyle w:val="BodyText"/>
              <w:tabs>
                <w:tab w:val="left" w:pos="3270"/>
              </w:tabs>
              <w:jc w:val="both"/>
              <w:rPr>
                <w:color w:val="000000"/>
              </w:rPr>
            </w:pPr>
            <w:r w:rsidRPr="00046CCA">
              <w:rPr>
                <w:color w:val="000000"/>
              </w:rPr>
              <w:t>Rotating Electrical Machines Part 27 Winding Insulation of Rotating Electrical Machines Section 4 Measurement of insulation resistance and polarization index</w:t>
            </w:r>
          </w:p>
        </w:tc>
      </w:tr>
    </w:tbl>
    <w:p w14:paraId="492A9A5F" w14:textId="77777777" w:rsidR="005C7981" w:rsidRDefault="005C7981" w:rsidP="00A36C45">
      <w:pPr>
        <w:pStyle w:val="BodyText"/>
        <w:jc w:val="both"/>
      </w:pPr>
    </w:p>
    <w:p w14:paraId="02710941" w14:textId="77777777" w:rsidR="00A36C45" w:rsidRPr="009433F3" w:rsidRDefault="00A36C45" w:rsidP="00A36C45">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457CB4D1" w14:textId="77777777" w:rsidR="00A36C45" w:rsidRPr="009433F3" w:rsidRDefault="00A36C45" w:rsidP="00A36C45">
      <w:pPr>
        <w:pStyle w:val="BodyText"/>
        <w:numPr>
          <w:ilvl w:val="0"/>
          <w:numId w:val="7"/>
        </w:numPr>
        <w:spacing w:before="269"/>
        <w:ind w:left="990"/>
        <w:jc w:val="both"/>
      </w:pPr>
      <w:r w:rsidRPr="009433F3">
        <w:t>Wherever the words ‘International Standard’ appears referring to this standard, they should be read as ‘Indian Standard’.</w:t>
      </w:r>
    </w:p>
    <w:p w14:paraId="5C31843A" w14:textId="77777777" w:rsidR="00A36C45" w:rsidRPr="009433F3" w:rsidRDefault="00A36C45" w:rsidP="00A36C45">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14:paraId="72AA8ECB" w14:textId="77777777" w:rsidR="004A3979" w:rsidRDefault="00A36C45" w:rsidP="00A36C45">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1434E6E7" w14:textId="77777777" w:rsidR="00A36C45" w:rsidRPr="009433F3" w:rsidRDefault="00A36C45" w:rsidP="00A36C45">
      <w:pPr>
        <w:pStyle w:val="BodyText"/>
        <w:jc w:val="both"/>
      </w:pPr>
    </w:p>
    <w:tbl>
      <w:tblPr>
        <w:tblW w:w="92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5"/>
        <w:gridCol w:w="4500"/>
        <w:gridCol w:w="1384"/>
      </w:tblGrid>
      <w:tr w:rsidR="00A36C45" w:rsidRPr="009433F3" w14:paraId="210C9749" w14:textId="77777777" w:rsidTr="006C1944">
        <w:trPr>
          <w:trHeight w:val="557"/>
        </w:trPr>
        <w:tc>
          <w:tcPr>
            <w:tcW w:w="3325" w:type="dxa"/>
            <w:shd w:val="clear" w:color="auto" w:fill="auto"/>
          </w:tcPr>
          <w:p w14:paraId="4C8AE7C9" w14:textId="77777777" w:rsidR="00A36C45" w:rsidRPr="00E1746A" w:rsidRDefault="00A36C45" w:rsidP="00FE149A">
            <w:pPr>
              <w:pStyle w:val="BodyText"/>
              <w:ind w:left="90" w:right="90"/>
              <w:jc w:val="center"/>
              <w:rPr>
                <w:i/>
                <w:iCs/>
              </w:rPr>
            </w:pPr>
            <w:r w:rsidRPr="00E1746A">
              <w:rPr>
                <w:i/>
                <w:iCs/>
              </w:rPr>
              <w:t>International Standard</w:t>
            </w:r>
          </w:p>
        </w:tc>
        <w:tc>
          <w:tcPr>
            <w:tcW w:w="4500" w:type="dxa"/>
            <w:shd w:val="clear" w:color="auto" w:fill="auto"/>
          </w:tcPr>
          <w:p w14:paraId="07EAE8E2" w14:textId="77777777" w:rsidR="00A36C45" w:rsidRPr="00E1746A" w:rsidRDefault="00A36C45" w:rsidP="00FE149A">
            <w:pPr>
              <w:pStyle w:val="BodyText"/>
              <w:ind w:left="90" w:right="90"/>
              <w:jc w:val="center"/>
              <w:rPr>
                <w:i/>
                <w:iCs/>
              </w:rPr>
            </w:pPr>
            <w:r w:rsidRPr="00E1746A">
              <w:rPr>
                <w:i/>
                <w:iCs/>
              </w:rPr>
              <w:t>Corresponding Indian Standard</w:t>
            </w:r>
          </w:p>
        </w:tc>
        <w:tc>
          <w:tcPr>
            <w:tcW w:w="1384" w:type="dxa"/>
            <w:shd w:val="clear" w:color="auto" w:fill="auto"/>
          </w:tcPr>
          <w:p w14:paraId="59F4D7ED" w14:textId="77777777" w:rsidR="00A36C45" w:rsidRPr="00E1746A" w:rsidRDefault="00A36C45" w:rsidP="00FE149A">
            <w:pPr>
              <w:pStyle w:val="BodyText"/>
              <w:ind w:left="90" w:right="50"/>
              <w:jc w:val="center"/>
              <w:rPr>
                <w:i/>
                <w:iCs/>
              </w:rPr>
            </w:pPr>
            <w:r w:rsidRPr="00E1746A">
              <w:rPr>
                <w:i/>
                <w:iCs/>
              </w:rPr>
              <w:t>Degree of Equivalence</w:t>
            </w:r>
          </w:p>
        </w:tc>
      </w:tr>
      <w:tr w:rsidR="00A36C45" w:rsidRPr="009433F3" w14:paraId="32A612D2" w14:textId="77777777" w:rsidTr="006C1944">
        <w:trPr>
          <w:trHeight w:val="1160"/>
        </w:trPr>
        <w:tc>
          <w:tcPr>
            <w:tcW w:w="3325" w:type="dxa"/>
            <w:shd w:val="clear" w:color="auto" w:fill="auto"/>
          </w:tcPr>
          <w:p w14:paraId="7B148C7B" w14:textId="77777777" w:rsidR="00A36C45" w:rsidRPr="00E1746A" w:rsidRDefault="00A36C45" w:rsidP="00FE149A">
            <w:pPr>
              <w:pStyle w:val="BodyText"/>
              <w:ind w:left="90" w:right="90"/>
              <w:jc w:val="both"/>
              <w:rPr>
                <w:i/>
                <w:iCs/>
              </w:rPr>
            </w:pPr>
            <w:r w:rsidRPr="00287091">
              <w:t>IEC 60027-1, Letter symbols to be used in electrical technology – Part 1: General</w:t>
            </w:r>
          </w:p>
        </w:tc>
        <w:tc>
          <w:tcPr>
            <w:tcW w:w="4500" w:type="dxa"/>
            <w:shd w:val="clear" w:color="auto" w:fill="auto"/>
          </w:tcPr>
          <w:p w14:paraId="5E5E3707" w14:textId="77777777" w:rsidR="00A36C45" w:rsidRPr="00E1746A" w:rsidRDefault="00A36C45" w:rsidP="00FE149A">
            <w:pPr>
              <w:pStyle w:val="BodyText"/>
              <w:ind w:left="90" w:right="90"/>
              <w:jc w:val="both"/>
              <w:rPr>
                <w:i/>
                <w:iCs/>
              </w:rPr>
            </w:pPr>
            <w:r w:rsidRPr="00287091">
              <w:t>IS 3722 (Part 1) : 2023 / IEC 60027-1: 1992 Letter symbols and signs used In electrical technology - Part 1: General (</w:t>
            </w:r>
            <w:r w:rsidRPr="00287091">
              <w:rPr>
                <w:i/>
                <w:iCs/>
              </w:rPr>
              <w:t>Second Revision</w:t>
            </w:r>
            <w:r w:rsidRPr="00287091">
              <w:t>)</w:t>
            </w:r>
          </w:p>
        </w:tc>
        <w:tc>
          <w:tcPr>
            <w:tcW w:w="1384" w:type="dxa"/>
            <w:shd w:val="clear" w:color="auto" w:fill="auto"/>
          </w:tcPr>
          <w:p w14:paraId="5F71FA8E" w14:textId="77777777" w:rsidR="00A36C45" w:rsidRPr="00E1746A" w:rsidRDefault="00A36C45" w:rsidP="00FE149A">
            <w:pPr>
              <w:pStyle w:val="BodyText"/>
              <w:ind w:left="90" w:right="50"/>
              <w:jc w:val="center"/>
              <w:rPr>
                <w:i/>
                <w:iCs/>
              </w:rPr>
            </w:pPr>
            <w:r>
              <w:t>Identical</w:t>
            </w:r>
          </w:p>
        </w:tc>
      </w:tr>
      <w:tr w:rsidR="00A36C45" w:rsidRPr="009433F3" w14:paraId="7421654B" w14:textId="77777777" w:rsidTr="006C1944">
        <w:trPr>
          <w:trHeight w:val="465"/>
        </w:trPr>
        <w:tc>
          <w:tcPr>
            <w:tcW w:w="3325" w:type="dxa"/>
            <w:shd w:val="clear" w:color="auto" w:fill="auto"/>
          </w:tcPr>
          <w:p w14:paraId="282CD815" w14:textId="77777777" w:rsidR="00A36C45" w:rsidRPr="00D963F6" w:rsidRDefault="00A36C45" w:rsidP="00FE149A">
            <w:pPr>
              <w:pStyle w:val="BodyText"/>
              <w:ind w:left="90" w:right="90"/>
              <w:jc w:val="both"/>
            </w:pPr>
            <w:r w:rsidRPr="00D963F6">
              <w:lastRenderedPageBreak/>
              <w:t>IEC 60034-1: 2022, Rotating electrical machines – Part 1: Rating and performance</w:t>
            </w:r>
          </w:p>
        </w:tc>
        <w:tc>
          <w:tcPr>
            <w:tcW w:w="4500" w:type="dxa"/>
            <w:shd w:val="clear" w:color="auto" w:fill="auto"/>
          </w:tcPr>
          <w:p w14:paraId="5B6A76A4" w14:textId="77777777" w:rsidR="00A36C45" w:rsidRPr="00D963F6" w:rsidRDefault="00A36C45" w:rsidP="00FE149A">
            <w:pPr>
              <w:pStyle w:val="BodyText"/>
              <w:ind w:left="90" w:right="90"/>
              <w:jc w:val="both"/>
            </w:pPr>
            <w:r w:rsidRPr="00D963F6">
              <w:t>IS 15999 (Part 1) : 2021/ IEC 60034-1: 2017 Rotating electrical machines - Part 1 : Rating and performance (Under Revision with latest Identical IEC)</w:t>
            </w:r>
          </w:p>
        </w:tc>
        <w:tc>
          <w:tcPr>
            <w:tcW w:w="1384" w:type="dxa"/>
            <w:shd w:val="clear" w:color="auto" w:fill="auto"/>
          </w:tcPr>
          <w:p w14:paraId="1E5669B1" w14:textId="77777777" w:rsidR="00A36C45" w:rsidRPr="00D963F6" w:rsidRDefault="00A36C45" w:rsidP="00FE149A">
            <w:pPr>
              <w:pStyle w:val="BodyText"/>
              <w:ind w:left="90" w:right="90"/>
              <w:jc w:val="center"/>
            </w:pPr>
            <w:r w:rsidRPr="00D963F6">
              <w:t>Identical</w:t>
            </w:r>
          </w:p>
        </w:tc>
      </w:tr>
      <w:tr w:rsidR="00A36C45" w:rsidRPr="009433F3" w14:paraId="7229E44C" w14:textId="77777777" w:rsidTr="006C1944">
        <w:trPr>
          <w:trHeight w:val="465"/>
        </w:trPr>
        <w:tc>
          <w:tcPr>
            <w:tcW w:w="3325" w:type="dxa"/>
            <w:shd w:val="clear" w:color="auto" w:fill="auto"/>
          </w:tcPr>
          <w:p w14:paraId="4037DEB7" w14:textId="77777777" w:rsidR="00A36C45" w:rsidRPr="006209BC" w:rsidRDefault="00A36C45" w:rsidP="00FE149A">
            <w:pPr>
              <w:pStyle w:val="BodyText"/>
              <w:ind w:left="90" w:right="90"/>
              <w:jc w:val="both"/>
            </w:pPr>
            <w:r w:rsidRPr="006209BC">
              <w:t>IEC 60034-4-1:2018, Rotating electrical machines – Part 4-1: Methods for determining</w:t>
            </w:r>
          </w:p>
          <w:p w14:paraId="3A67DEAF" w14:textId="77777777" w:rsidR="00A36C45" w:rsidRPr="006209BC" w:rsidRDefault="00A36C45" w:rsidP="00FE149A">
            <w:pPr>
              <w:pStyle w:val="BodyText"/>
              <w:ind w:left="90" w:right="90"/>
              <w:jc w:val="both"/>
            </w:pPr>
            <w:r w:rsidRPr="006209BC">
              <w:t>electrically excited synchronous machine quantities from tests</w:t>
            </w:r>
          </w:p>
        </w:tc>
        <w:tc>
          <w:tcPr>
            <w:tcW w:w="4500" w:type="dxa"/>
            <w:shd w:val="clear" w:color="auto" w:fill="auto"/>
          </w:tcPr>
          <w:p w14:paraId="3DD6AF00" w14:textId="77777777" w:rsidR="00A36C45" w:rsidRPr="006209BC" w:rsidRDefault="00A36C45" w:rsidP="004A3979">
            <w:pPr>
              <w:pStyle w:val="BodyText"/>
              <w:ind w:left="90" w:right="90"/>
              <w:jc w:val="both"/>
            </w:pPr>
            <w:r w:rsidRPr="006209BC">
              <w:t>IS 15999 (Part 4/Sec 1) : 2023</w:t>
            </w:r>
            <w:r w:rsidR="004A3979">
              <w:t xml:space="preserve">/ IEC </w:t>
            </w:r>
            <w:r w:rsidRPr="006209BC">
              <w:t xml:space="preserve">60034-4-1: 2018 Rotating electrical machines Part 4 Electrically excited synchronous machine quantities Section 1 Test methods </w:t>
            </w:r>
            <w:r>
              <w:t>(</w:t>
            </w:r>
            <w:r w:rsidRPr="006209BC">
              <w:rPr>
                <w:i/>
                <w:iCs/>
              </w:rPr>
              <w:t>First Revision</w:t>
            </w:r>
            <w:r>
              <w:t>)</w:t>
            </w:r>
          </w:p>
        </w:tc>
        <w:tc>
          <w:tcPr>
            <w:tcW w:w="1384" w:type="dxa"/>
            <w:shd w:val="clear" w:color="auto" w:fill="auto"/>
          </w:tcPr>
          <w:p w14:paraId="70045B27" w14:textId="77777777" w:rsidR="00A36C45" w:rsidRPr="006209BC" w:rsidRDefault="00A36C45" w:rsidP="00FE149A">
            <w:pPr>
              <w:pStyle w:val="BodyText"/>
              <w:ind w:left="90" w:right="90"/>
              <w:jc w:val="center"/>
            </w:pPr>
            <w:r>
              <w:t>Identical</w:t>
            </w:r>
          </w:p>
        </w:tc>
      </w:tr>
      <w:tr w:rsidR="00A36C45" w:rsidRPr="009433F3" w14:paraId="2DD033BB" w14:textId="77777777" w:rsidTr="006C1944">
        <w:trPr>
          <w:trHeight w:val="465"/>
        </w:trPr>
        <w:tc>
          <w:tcPr>
            <w:tcW w:w="3325" w:type="dxa"/>
            <w:shd w:val="clear" w:color="auto" w:fill="auto"/>
          </w:tcPr>
          <w:p w14:paraId="4C281EA3" w14:textId="77777777" w:rsidR="00A36C45" w:rsidRPr="006209BC" w:rsidRDefault="00A36C45" w:rsidP="00FE149A">
            <w:pPr>
              <w:pStyle w:val="BodyText"/>
              <w:ind w:left="90" w:right="90"/>
              <w:jc w:val="both"/>
            </w:pPr>
            <w:r w:rsidRPr="00925DE0">
              <w:t>IEC 60034-30-1, Rotating electrical machines – Part 30-1: Efficiency classes of line operated</w:t>
            </w:r>
            <w:r>
              <w:t xml:space="preserve"> </w:t>
            </w:r>
            <w:r w:rsidRPr="00925DE0">
              <w:t>AC motors (IE code)</w:t>
            </w:r>
          </w:p>
        </w:tc>
        <w:tc>
          <w:tcPr>
            <w:tcW w:w="4500" w:type="dxa"/>
            <w:shd w:val="clear" w:color="auto" w:fill="auto"/>
          </w:tcPr>
          <w:p w14:paraId="3A2C23C3" w14:textId="77777777" w:rsidR="00A36C45" w:rsidRDefault="00A36C45" w:rsidP="00EC3F66">
            <w:pPr>
              <w:pStyle w:val="BodyText"/>
              <w:ind w:left="90" w:right="90"/>
              <w:jc w:val="both"/>
            </w:pPr>
            <w:r w:rsidRPr="00925DE0">
              <w:t>IS 12615 : 2018</w:t>
            </w:r>
            <w:r w:rsidR="00EC3F66">
              <w:t xml:space="preserve"> </w:t>
            </w:r>
            <w:r w:rsidRPr="00925DE0">
              <w:t>Line operated three phase AC motors (IE Code) "Efficiency classes and performance specification" (</w:t>
            </w:r>
            <w:r w:rsidR="000E32D7" w:rsidRPr="000E32D7">
              <w:rPr>
                <w:i/>
                <w:iCs/>
              </w:rPr>
              <w:t>Third Revision</w:t>
            </w:r>
            <w:r w:rsidRPr="00925DE0">
              <w:t>)</w:t>
            </w:r>
          </w:p>
          <w:p w14:paraId="4A64D3CB" w14:textId="77777777" w:rsidR="004A3979" w:rsidRPr="006209BC" w:rsidRDefault="004A3979" w:rsidP="00EC3F66">
            <w:pPr>
              <w:pStyle w:val="BodyText"/>
              <w:ind w:left="90" w:right="90"/>
              <w:jc w:val="both"/>
            </w:pPr>
          </w:p>
        </w:tc>
        <w:tc>
          <w:tcPr>
            <w:tcW w:w="1384" w:type="dxa"/>
            <w:shd w:val="clear" w:color="auto" w:fill="auto"/>
          </w:tcPr>
          <w:p w14:paraId="191DF86D" w14:textId="77777777" w:rsidR="00A36C45" w:rsidRDefault="00A36C45" w:rsidP="00FE149A">
            <w:pPr>
              <w:pStyle w:val="BodyText"/>
              <w:ind w:left="90" w:right="90"/>
              <w:jc w:val="both"/>
            </w:pPr>
            <w:r w:rsidRPr="00925DE0">
              <w:t>Technically Equivalent</w:t>
            </w:r>
          </w:p>
        </w:tc>
      </w:tr>
      <w:tr w:rsidR="00A36C45" w:rsidRPr="009433F3" w14:paraId="08CD4A40" w14:textId="77777777" w:rsidTr="006C1944">
        <w:trPr>
          <w:trHeight w:val="465"/>
        </w:trPr>
        <w:tc>
          <w:tcPr>
            <w:tcW w:w="3325" w:type="dxa"/>
            <w:vMerge w:val="restart"/>
            <w:shd w:val="clear" w:color="auto" w:fill="auto"/>
            <w:vAlign w:val="center"/>
          </w:tcPr>
          <w:p w14:paraId="275D6760" w14:textId="77777777" w:rsidR="00A36C45" w:rsidRDefault="00A36C45" w:rsidP="00FE149A">
            <w:pPr>
              <w:pStyle w:val="BodyText"/>
              <w:ind w:left="90" w:right="545"/>
            </w:pPr>
          </w:p>
          <w:p w14:paraId="45538A91" w14:textId="77777777" w:rsidR="00A36C45" w:rsidRDefault="00A36C45" w:rsidP="00FE149A">
            <w:pPr>
              <w:pStyle w:val="BodyText"/>
              <w:ind w:left="90" w:right="545"/>
            </w:pPr>
          </w:p>
          <w:p w14:paraId="30F7BB76" w14:textId="77777777" w:rsidR="00A36C45" w:rsidRDefault="00A36C45" w:rsidP="00FE149A">
            <w:pPr>
              <w:pStyle w:val="BodyText"/>
              <w:ind w:left="90" w:right="545"/>
            </w:pPr>
          </w:p>
          <w:p w14:paraId="2ADF6F17" w14:textId="77777777" w:rsidR="00A36C45" w:rsidRDefault="00A36C45" w:rsidP="00FE149A">
            <w:pPr>
              <w:pStyle w:val="BodyText"/>
              <w:ind w:left="90" w:right="545"/>
            </w:pPr>
          </w:p>
          <w:p w14:paraId="58B59B4C" w14:textId="77777777" w:rsidR="00A36C45" w:rsidRDefault="00A36C45" w:rsidP="00FE149A">
            <w:pPr>
              <w:pStyle w:val="BodyText"/>
              <w:ind w:left="90" w:right="545"/>
            </w:pPr>
          </w:p>
          <w:p w14:paraId="4A139990" w14:textId="77777777" w:rsidR="00A36C45" w:rsidRDefault="00A36C45" w:rsidP="00FE149A">
            <w:pPr>
              <w:pStyle w:val="BodyText"/>
              <w:ind w:left="90" w:right="545"/>
            </w:pPr>
          </w:p>
          <w:p w14:paraId="6CF6F2D1" w14:textId="77777777" w:rsidR="00A36C45" w:rsidRDefault="00A36C45" w:rsidP="00FE149A">
            <w:pPr>
              <w:pStyle w:val="BodyText"/>
              <w:ind w:left="90" w:right="545"/>
            </w:pPr>
          </w:p>
          <w:p w14:paraId="58CE1D08" w14:textId="77777777" w:rsidR="00A36C45" w:rsidRDefault="00A36C45" w:rsidP="00FE149A">
            <w:pPr>
              <w:pStyle w:val="BodyText"/>
              <w:ind w:left="90" w:right="90"/>
              <w:jc w:val="both"/>
            </w:pPr>
          </w:p>
          <w:p w14:paraId="763CA554" w14:textId="77777777" w:rsidR="00A36C45" w:rsidRPr="00E1746A" w:rsidRDefault="00A36C45" w:rsidP="00FE149A">
            <w:pPr>
              <w:pStyle w:val="BodyText"/>
              <w:ind w:left="90" w:right="90"/>
              <w:jc w:val="both"/>
              <w:rPr>
                <w:i/>
                <w:iCs/>
              </w:rPr>
            </w:pPr>
            <w:r w:rsidRPr="00343ACD">
              <w:t>IEC 60051(all parts), Direct acting</w:t>
            </w:r>
            <w:r>
              <w:t xml:space="preserve"> indicating analogue electrical </w:t>
            </w:r>
            <w:r w:rsidRPr="00343ACD">
              <w:t>measuring instruments and</w:t>
            </w:r>
            <w:r>
              <w:t xml:space="preserve"> </w:t>
            </w:r>
            <w:r w:rsidRPr="00343ACD">
              <w:t>their accessories</w:t>
            </w:r>
          </w:p>
        </w:tc>
        <w:tc>
          <w:tcPr>
            <w:tcW w:w="4500" w:type="dxa"/>
            <w:shd w:val="clear" w:color="auto" w:fill="auto"/>
          </w:tcPr>
          <w:p w14:paraId="0F9F7729" w14:textId="77777777" w:rsidR="00A36C45" w:rsidRPr="007C5F12" w:rsidRDefault="00A36C45" w:rsidP="00FE149A">
            <w:pPr>
              <w:pStyle w:val="BodyText"/>
              <w:ind w:left="90" w:right="90"/>
              <w:jc w:val="both"/>
            </w:pPr>
            <w:r w:rsidRPr="00343ACD">
              <w:t xml:space="preserve">IS 1248 (Part 1) : 2021/ IEC 60051-1: 2016 Direct acting indicating analogue electrical measuring instruments and their accessories Part 1: Definitions and general requirements common to all parts </w:t>
            </w:r>
            <w:r>
              <w:t>(</w:t>
            </w:r>
            <w:r w:rsidRPr="00343ACD">
              <w:rPr>
                <w:i/>
                <w:iCs/>
              </w:rPr>
              <w:t>Fifth Revision</w:t>
            </w:r>
            <w:r>
              <w:t>)</w:t>
            </w:r>
          </w:p>
        </w:tc>
        <w:tc>
          <w:tcPr>
            <w:tcW w:w="1384" w:type="dxa"/>
            <w:shd w:val="clear" w:color="auto" w:fill="auto"/>
          </w:tcPr>
          <w:p w14:paraId="73AB2C3E" w14:textId="77777777" w:rsidR="00A36C45" w:rsidRPr="00E1746A" w:rsidRDefault="00A36C45" w:rsidP="00FE149A">
            <w:pPr>
              <w:pStyle w:val="BodyText"/>
              <w:ind w:left="90" w:right="50"/>
              <w:jc w:val="center"/>
              <w:rPr>
                <w:i/>
                <w:iCs/>
              </w:rPr>
            </w:pPr>
            <w:r>
              <w:t>Identical</w:t>
            </w:r>
          </w:p>
        </w:tc>
      </w:tr>
      <w:tr w:rsidR="00A36C45" w:rsidRPr="009433F3" w14:paraId="49C00D5F" w14:textId="77777777" w:rsidTr="006C1944">
        <w:trPr>
          <w:trHeight w:val="465"/>
        </w:trPr>
        <w:tc>
          <w:tcPr>
            <w:tcW w:w="3325" w:type="dxa"/>
            <w:vMerge/>
            <w:shd w:val="clear" w:color="auto" w:fill="auto"/>
          </w:tcPr>
          <w:p w14:paraId="46A63950" w14:textId="77777777" w:rsidR="00A36C45" w:rsidRDefault="00A36C45" w:rsidP="00FE149A">
            <w:pPr>
              <w:pStyle w:val="BodyText"/>
              <w:ind w:left="90" w:right="90"/>
            </w:pPr>
          </w:p>
        </w:tc>
        <w:tc>
          <w:tcPr>
            <w:tcW w:w="4500" w:type="dxa"/>
            <w:shd w:val="clear" w:color="auto" w:fill="auto"/>
          </w:tcPr>
          <w:p w14:paraId="71F19783" w14:textId="77777777" w:rsidR="00A36C45" w:rsidRPr="007C5F12" w:rsidRDefault="004A3979" w:rsidP="004A3979">
            <w:pPr>
              <w:pStyle w:val="BodyText"/>
              <w:ind w:left="90" w:right="90"/>
              <w:jc w:val="both"/>
            </w:pPr>
            <w:r>
              <w:t xml:space="preserve">IS 1248 (Part 2) : 2021/ IEC </w:t>
            </w:r>
            <w:r w:rsidR="00A36C45" w:rsidRPr="00343ACD">
              <w:t>60051-2: 2018 Direct acting indicating analogue electrical measuring instruments and their accessories Part 2: Special requirements for ammeters and voltmeters</w:t>
            </w:r>
          </w:p>
        </w:tc>
        <w:tc>
          <w:tcPr>
            <w:tcW w:w="1384" w:type="dxa"/>
            <w:shd w:val="clear" w:color="auto" w:fill="auto"/>
          </w:tcPr>
          <w:p w14:paraId="5C4E7A8B" w14:textId="77777777" w:rsidR="00A36C45" w:rsidRDefault="00A36C45" w:rsidP="00FE149A">
            <w:pPr>
              <w:jc w:val="center"/>
            </w:pPr>
            <w:r w:rsidRPr="00984030">
              <w:t>Identical</w:t>
            </w:r>
          </w:p>
        </w:tc>
      </w:tr>
      <w:tr w:rsidR="00A36C45" w:rsidRPr="009433F3" w14:paraId="5D49911D" w14:textId="77777777" w:rsidTr="006C1944">
        <w:trPr>
          <w:trHeight w:val="465"/>
        </w:trPr>
        <w:tc>
          <w:tcPr>
            <w:tcW w:w="3325" w:type="dxa"/>
            <w:vMerge/>
            <w:shd w:val="clear" w:color="auto" w:fill="auto"/>
          </w:tcPr>
          <w:p w14:paraId="67CDDE69" w14:textId="77777777" w:rsidR="00A36C45" w:rsidRDefault="00A36C45" w:rsidP="00FE149A">
            <w:pPr>
              <w:pStyle w:val="BodyText"/>
              <w:ind w:left="90" w:right="90"/>
            </w:pPr>
          </w:p>
        </w:tc>
        <w:tc>
          <w:tcPr>
            <w:tcW w:w="4500" w:type="dxa"/>
            <w:shd w:val="clear" w:color="auto" w:fill="auto"/>
          </w:tcPr>
          <w:p w14:paraId="5FDA475F" w14:textId="77777777" w:rsidR="00A36C45" w:rsidRPr="007C5F12" w:rsidRDefault="00A36C45" w:rsidP="00FE149A">
            <w:pPr>
              <w:pStyle w:val="BodyText"/>
              <w:ind w:left="90" w:right="90"/>
              <w:jc w:val="both"/>
            </w:pPr>
            <w:r w:rsidRPr="00343ACD">
              <w:t>IS 1248 (Part 3) : 2021/ IEC 60051-3: 2018 Direct acting indicating analogue electrical measuring instruments and their accessories Part 3: Special requirements for wattmeters and varmeters</w:t>
            </w:r>
          </w:p>
        </w:tc>
        <w:tc>
          <w:tcPr>
            <w:tcW w:w="1384" w:type="dxa"/>
            <w:shd w:val="clear" w:color="auto" w:fill="auto"/>
          </w:tcPr>
          <w:p w14:paraId="53F0F08F" w14:textId="77777777" w:rsidR="00A36C45" w:rsidRDefault="00A36C45" w:rsidP="00FE149A">
            <w:pPr>
              <w:jc w:val="center"/>
            </w:pPr>
            <w:r w:rsidRPr="00984030">
              <w:t>Identical</w:t>
            </w:r>
          </w:p>
        </w:tc>
      </w:tr>
      <w:tr w:rsidR="00A36C45" w:rsidRPr="009433F3" w14:paraId="671DBB55" w14:textId="77777777" w:rsidTr="006C1944">
        <w:trPr>
          <w:trHeight w:val="465"/>
        </w:trPr>
        <w:tc>
          <w:tcPr>
            <w:tcW w:w="3325" w:type="dxa"/>
            <w:vMerge/>
            <w:shd w:val="clear" w:color="auto" w:fill="auto"/>
          </w:tcPr>
          <w:p w14:paraId="6A50E657" w14:textId="77777777" w:rsidR="00A36C45" w:rsidRDefault="00A36C45" w:rsidP="00FE149A">
            <w:pPr>
              <w:pStyle w:val="BodyText"/>
              <w:ind w:left="90" w:right="90"/>
            </w:pPr>
          </w:p>
        </w:tc>
        <w:tc>
          <w:tcPr>
            <w:tcW w:w="4500" w:type="dxa"/>
            <w:shd w:val="clear" w:color="auto" w:fill="auto"/>
          </w:tcPr>
          <w:p w14:paraId="3CA18B85" w14:textId="77777777" w:rsidR="00A36C45" w:rsidRPr="007C5F12" w:rsidRDefault="00A36C45" w:rsidP="00FE149A">
            <w:pPr>
              <w:pStyle w:val="BodyText"/>
              <w:ind w:left="90" w:right="90"/>
              <w:jc w:val="both"/>
            </w:pPr>
            <w:r w:rsidRPr="00343ACD">
              <w:t>IS 1248 (Part 4) : 2021/ IEC 60051-4: 2018 Direct acting indicating analogue electrical measuring instruments and their accessories title Part 4: Special requirements for frequency meters</w:t>
            </w:r>
          </w:p>
        </w:tc>
        <w:tc>
          <w:tcPr>
            <w:tcW w:w="1384" w:type="dxa"/>
            <w:shd w:val="clear" w:color="auto" w:fill="auto"/>
          </w:tcPr>
          <w:p w14:paraId="1C724715" w14:textId="77777777" w:rsidR="00A36C45" w:rsidRDefault="00A36C45" w:rsidP="00FE149A">
            <w:pPr>
              <w:jc w:val="center"/>
            </w:pPr>
            <w:r w:rsidRPr="00984030">
              <w:t>Identical</w:t>
            </w:r>
          </w:p>
        </w:tc>
      </w:tr>
      <w:tr w:rsidR="00A36C45" w:rsidRPr="009433F3" w14:paraId="5C35D200" w14:textId="77777777" w:rsidTr="006C1944">
        <w:trPr>
          <w:trHeight w:val="465"/>
        </w:trPr>
        <w:tc>
          <w:tcPr>
            <w:tcW w:w="3325" w:type="dxa"/>
            <w:vMerge/>
            <w:shd w:val="clear" w:color="auto" w:fill="auto"/>
          </w:tcPr>
          <w:p w14:paraId="7AA88963" w14:textId="77777777" w:rsidR="00A36C45" w:rsidRDefault="00A36C45" w:rsidP="00FE149A">
            <w:pPr>
              <w:pStyle w:val="BodyText"/>
              <w:ind w:left="90" w:right="90"/>
            </w:pPr>
          </w:p>
        </w:tc>
        <w:tc>
          <w:tcPr>
            <w:tcW w:w="4500" w:type="dxa"/>
            <w:shd w:val="clear" w:color="auto" w:fill="auto"/>
          </w:tcPr>
          <w:p w14:paraId="2EAB8F2E" w14:textId="77777777" w:rsidR="00A36C45" w:rsidRPr="007C5F12" w:rsidRDefault="00A36C45" w:rsidP="00FE149A">
            <w:pPr>
              <w:pStyle w:val="BodyText"/>
              <w:ind w:left="90" w:right="90"/>
              <w:jc w:val="both"/>
            </w:pPr>
            <w:r w:rsidRPr="00343ACD">
              <w:t>IS 1248 (Part 5) : 2021/ IEC60051-5: 2018 Direct acting indicating analogue electrical measuring instruments and their accessories Part 5: Special requirements for phase meters power factor meters and synchroscopes</w:t>
            </w:r>
          </w:p>
        </w:tc>
        <w:tc>
          <w:tcPr>
            <w:tcW w:w="1384" w:type="dxa"/>
            <w:shd w:val="clear" w:color="auto" w:fill="auto"/>
          </w:tcPr>
          <w:p w14:paraId="06A0A710" w14:textId="77777777" w:rsidR="00A36C45" w:rsidRDefault="00A36C45" w:rsidP="00FE149A">
            <w:pPr>
              <w:jc w:val="center"/>
            </w:pPr>
            <w:r w:rsidRPr="00984030">
              <w:t>Identical</w:t>
            </w:r>
          </w:p>
        </w:tc>
      </w:tr>
      <w:tr w:rsidR="00A36C45" w:rsidRPr="009433F3" w14:paraId="656D49A3" w14:textId="77777777" w:rsidTr="006C1944">
        <w:trPr>
          <w:trHeight w:val="287"/>
        </w:trPr>
        <w:tc>
          <w:tcPr>
            <w:tcW w:w="3325" w:type="dxa"/>
            <w:vMerge/>
            <w:shd w:val="clear" w:color="auto" w:fill="auto"/>
          </w:tcPr>
          <w:p w14:paraId="17C624E4" w14:textId="77777777" w:rsidR="00A36C45" w:rsidRPr="009433F3" w:rsidRDefault="00A36C45" w:rsidP="00FE149A">
            <w:pPr>
              <w:pStyle w:val="BodyText"/>
              <w:ind w:left="90" w:right="90"/>
              <w:jc w:val="both"/>
            </w:pPr>
          </w:p>
        </w:tc>
        <w:tc>
          <w:tcPr>
            <w:tcW w:w="4500" w:type="dxa"/>
            <w:shd w:val="clear" w:color="auto" w:fill="auto"/>
          </w:tcPr>
          <w:p w14:paraId="2781FEF8" w14:textId="77777777" w:rsidR="00A36C45" w:rsidRPr="009433F3" w:rsidRDefault="00A36C45" w:rsidP="00FE149A">
            <w:pPr>
              <w:pStyle w:val="BodyText"/>
              <w:ind w:left="90" w:right="90"/>
              <w:jc w:val="both"/>
            </w:pPr>
            <w:r w:rsidRPr="00343ACD">
              <w:t>IS 1248 (Part 6) : 2021/ IEC 60051-6:2017 Direct acting indicating analogue electrical measuring instruments and their accessories Part 6: Special requirements for ohmmeters impedance meters and conductance meters</w:t>
            </w:r>
          </w:p>
        </w:tc>
        <w:tc>
          <w:tcPr>
            <w:tcW w:w="1384" w:type="dxa"/>
            <w:shd w:val="clear" w:color="auto" w:fill="auto"/>
          </w:tcPr>
          <w:p w14:paraId="411F3627" w14:textId="77777777" w:rsidR="00A36C45" w:rsidRPr="009433F3" w:rsidRDefault="00A36C45" w:rsidP="00FE149A">
            <w:pPr>
              <w:pStyle w:val="BodyText"/>
              <w:tabs>
                <w:tab w:val="left" w:pos="3870"/>
              </w:tabs>
              <w:ind w:left="90" w:right="50"/>
              <w:jc w:val="center"/>
            </w:pPr>
            <w:r>
              <w:t>Identical</w:t>
            </w:r>
          </w:p>
        </w:tc>
      </w:tr>
      <w:tr w:rsidR="00A36C45" w:rsidRPr="009433F3" w14:paraId="679BEBF7" w14:textId="77777777" w:rsidTr="006C1944">
        <w:trPr>
          <w:trHeight w:val="287"/>
        </w:trPr>
        <w:tc>
          <w:tcPr>
            <w:tcW w:w="3325" w:type="dxa"/>
            <w:vMerge/>
            <w:shd w:val="clear" w:color="auto" w:fill="auto"/>
          </w:tcPr>
          <w:p w14:paraId="2CAED965" w14:textId="77777777" w:rsidR="00A36C45" w:rsidRPr="009433F3" w:rsidRDefault="00A36C45" w:rsidP="00FE149A">
            <w:pPr>
              <w:pStyle w:val="BodyText"/>
              <w:ind w:left="90" w:right="90"/>
              <w:jc w:val="both"/>
            </w:pPr>
          </w:p>
        </w:tc>
        <w:tc>
          <w:tcPr>
            <w:tcW w:w="4500" w:type="dxa"/>
            <w:shd w:val="clear" w:color="auto" w:fill="auto"/>
          </w:tcPr>
          <w:p w14:paraId="4AD6AFBD" w14:textId="77777777" w:rsidR="00A36C45" w:rsidRPr="00343ACD" w:rsidRDefault="00A36C45" w:rsidP="00FE149A">
            <w:pPr>
              <w:pStyle w:val="BodyText"/>
              <w:ind w:left="90" w:right="90"/>
              <w:jc w:val="both"/>
            </w:pPr>
            <w:r w:rsidRPr="00343ACD">
              <w:t>IS 1248 (Part 7) : 2021/</w:t>
            </w:r>
            <w:r>
              <w:t xml:space="preserve"> </w:t>
            </w:r>
            <w:r w:rsidRPr="00343ACD">
              <w:t>IEC</w:t>
            </w:r>
            <w:r w:rsidRPr="00343ACD">
              <w:br/>
              <w:t>60051-7: 2017 Direct acting indicating analogue electrical measuring instruments and their accessories Part 7: Special requirements for multi-function instruments</w:t>
            </w:r>
          </w:p>
        </w:tc>
        <w:tc>
          <w:tcPr>
            <w:tcW w:w="1384" w:type="dxa"/>
            <w:shd w:val="clear" w:color="auto" w:fill="auto"/>
          </w:tcPr>
          <w:p w14:paraId="2920BA68" w14:textId="77777777" w:rsidR="00A36C45" w:rsidRDefault="00A36C45" w:rsidP="00FE149A">
            <w:pPr>
              <w:jc w:val="center"/>
            </w:pPr>
            <w:r w:rsidRPr="00C61DF9">
              <w:t>Identical</w:t>
            </w:r>
          </w:p>
        </w:tc>
      </w:tr>
      <w:tr w:rsidR="00A36C45" w:rsidRPr="009433F3" w14:paraId="6B2578DD" w14:textId="77777777" w:rsidTr="006C1944">
        <w:trPr>
          <w:trHeight w:val="287"/>
        </w:trPr>
        <w:tc>
          <w:tcPr>
            <w:tcW w:w="3325" w:type="dxa"/>
            <w:vMerge/>
            <w:shd w:val="clear" w:color="auto" w:fill="auto"/>
          </w:tcPr>
          <w:p w14:paraId="63B847CF" w14:textId="77777777" w:rsidR="00A36C45" w:rsidRPr="009433F3" w:rsidRDefault="00A36C45" w:rsidP="00FE149A">
            <w:pPr>
              <w:pStyle w:val="BodyText"/>
              <w:ind w:left="90" w:right="90"/>
              <w:jc w:val="both"/>
            </w:pPr>
          </w:p>
        </w:tc>
        <w:tc>
          <w:tcPr>
            <w:tcW w:w="4500" w:type="dxa"/>
            <w:shd w:val="clear" w:color="auto" w:fill="auto"/>
          </w:tcPr>
          <w:p w14:paraId="2FA7AB50" w14:textId="77777777" w:rsidR="00A36C45" w:rsidRPr="00343ACD" w:rsidRDefault="00A36C45" w:rsidP="00FE149A">
            <w:pPr>
              <w:pStyle w:val="BodyText"/>
              <w:ind w:left="90" w:right="90"/>
              <w:jc w:val="both"/>
            </w:pPr>
            <w:r w:rsidRPr="00343ACD">
              <w:t>IS 1248 (Part 8) : 2021/ IEC 60051-8: 2017 Direct acting indicating analogue electrical measuring instruments and their accessories Part 8: Special requirements for accessories</w:t>
            </w:r>
          </w:p>
        </w:tc>
        <w:tc>
          <w:tcPr>
            <w:tcW w:w="1384" w:type="dxa"/>
            <w:shd w:val="clear" w:color="auto" w:fill="auto"/>
          </w:tcPr>
          <w:p w14:paraId="4E63F11B" w14:textId="77777777" w:rsidR="00A36C45" w:rsidRDefault="00A36C45" w:rsidP="00FE149A">
            <w:pPr>
              <w:jc w:val="center"/>
            </w:pPr>
            <w:r w:rsidRPr="00C61DF9">
              <w:t>Identical</w:t>
            </w:r>
          </w:p>
        </w:tc>
      </w:tr>
      <w:tr w:rsidR="00A36C45" w:rsidRPr="009433F3" w14:paraId="7733EFBC" w14:textId="77777777" w:rsidTr="006C1944">
        <w:trPr>
          <w:trHeight w:val="287"/>
        </w:trPr>
        <w:tc>
          <w:tcPr>
            <w:tcW w:w="3325" w:type="dxa"/>
            <w:vMerge/>
            <w:shd w:val="clear" w:color="auto" w:fill="auto"/>
          </w:tcPr>
          <w:p w14:paraId="179AB13F" w14:textId="77777777" w:rsidR="00A36C45" w:rsidRPr="009433F3" w:rsidRDefault="00A36C45" w:rsidP="00FE149A">
            <w:pPr>
              <w:pStyle w:val="BodyText"/>
              <w:ind w:left="90" w:right="90"/>
              <w:jc w:val="both"/>
            </w:pPr>
          </w:p>
        </w:tc>
        <w:tc>
          <w:tcPr>
            <w:tcW w:w="4500" w:type="dxa"/>
            <w:shd w:val="clear" w:color="auto" w:fill="auto"/>
          </w:tcPr>
          <w:p w14:paraId="248E7436" w14:textId="77777777" w:rsidR="00A36C45" w:rsidRPr="00343ACD" w:rsidRDefault="00A36C45" w:rsidP="00FE149A">
            <w:pPr>
              <w:pStyle w:val="BodyText"/>
              <w:ind w:left="90" w:right="90"/>
              <w:jc w:val="both"/>
            </w:pPr>
            <w:r w:rsidRPr="00343ACD">
              <w:t>IS 1248 (Part 9) : 2021/ IEC 60051-9:2019 Direct acting indicating analogue electrical measuring instruments and their accessories Part 9: Recommended test methods</w:t>
            </w:r>
          </w:p>
        </w:tc>
        <w:tc>
          <w:tcPr>
            <w:tcW w:w="1384" w:type="dxa"/>
            <w:shd w:val="clear" w:color="auto" w:fill="auto"/>
          </w:tcPr>
          <w:p w14:paraId="080D098C" w14:textId="77777777" w:rsidR="00A36C45" w:rsidRDefault="00A36C45" w:rsidP="00FE149A">
            <w:pPr>
              <w:jc w:val="center"/>
            </w:pPr>
            <w:r w:rsidRPr="00C61DF9">
              <w:t>Identical</w:t>
            </w:r>
          </w:p>
        </w:tc>
      </w:tr>
    </w:tbl>
    <w:p w14:paraId="1E810220" w14:textId="77777777" w:rsidR="00A36C45" w:rsidRDefault="00A36C45" w:rsidP="00A36C45">
      <w:pPr>
        <w:pStyle w:val="BodyText"/>
        <w:spacing w:line="244" w:lineRule="auto"/>
        <w:ind w:right="20"/>
        <w:jc w:val="both"/>
      </w:pPr>
    </w:p>
    <w:p w14:paraId="563B3ECB" w14:textId="77777777" w:rsidR="00A36C45" w:rsidRDefault="00A36C45" w:rsidP="00A36C45">
      <w:pPr>
        <w:pStyle w:val="BodyText"/>
        <w:spacing w:line="244" w:lineRule="auto"/>
        <w:ind w:right="20"/>
      </w:pPr>
      <w:r w:rsidRPr="00BC5997">
        <w:t>The technical committee has reviewed the provisions of the following international standards referred in this adopted standard and decided that they are acceptable for use in conjunction with this standard.</w:t>
      </w:r>
    </w:p>
    <w:p w14:paraId="39E4E24A" w14:textId="77777777" w:rsidR="004A3979" w:rsidRPr="00BC5997" w:rsidRDefault="004A3979" w:rsidP="00A36C45">
      <w:pPr>
        <w:pStyle w:val="BodyText"/>
        <w:spacing w:line="244" w:lineRule="auto"/>
        <w:ind w:right="20"/>
      </w:pPr>
    </w:p>
    <w:p w14:paraId="1CCA03FB" w14:textId="77777777" w:rsidR="00A36C45" w:rsidRDefault="00A36C45" w:rsidP="00A36C45">
      <w:pPr>
        <w:pStyle w:val="BodyText"/>
        <w:spacing w:line="244" w:lineRule="auto"/>
        <w:ind w:right="20"/>
        <w:jc w:val="both"/>
      </w:pPr>
    </w:p>
    <w:tbl>
      <w:tblPr>
        <w:tblStyle w:val="TableGrid"/>
        <w:tblW w:w="0" w:type="auto"/>
        <w:tblInd w:w="108" w:type="dxa"/>
        <w:tblLook w:val="04A0" w:firstRow="1" w:lastRow="0" w:firstColumn="1" w:lastColumn="0" w:noHBand="0" w:noVBand="1"/>
      </w:tblPr>
      <w:tblGrid>
        <w:gridCol w:w="2384"/>
        <w:gridCol w:w="6750"/>
      </w:tblGrid>
      <w:tr w:rsidR="00A36C45" w14:paraId="1826C6F8" w14:textId="77777777" w:rsidTr="00FE149A">
        <w:tc>
          <w:tcPr>
            <w:tcW w:w="2520" w:type="dxa"/>
          </w:tcPr>
          <w:p w14:paraId="0D077886" w14:textId="77777777" w:rsidR="00A36C45" w:rsidRDefault="00A36C45" w:rsidP="00FE149A">
            <w:pPr>
              <w:pStyle w:val="BodyText"/>
              <w:spacing w:line="244" w:lineRule="auto"/>
              <w:ind w:right="20"/>
              <w:jc w:val="both"/>
            </w:pPr>
            <w:r w:rsidRPr="00E1746A">
              <w:rPr>
                <w:i/>
                <w:iCs/>
              </w:rPr>
              <w:t>International Standard</w:t>
            </w:r>
          </w:p>
        </w:tc>
        <w:tc>
          <w:tcPr>
            <w:tcW w:w="7560" w:type="dxa"/>
          </w:tcPr>
          <w:p w14:paraId="72A752F7" w14:textId="77777777" w:rsidR="00A36C45" w:rsidRPr="00A208D7" w:rsidRDefault="00A36C45" w:rsidP="00FE149A">
            <w:pPr>
              <w:pStyle w:val="BodyText"/>
              <w:spacing w:line="244" w:lineRule="auto"/>
              <w:ind w:right="20"/>
              <w:jc w:val="center"/>
              <w:rPr>
                <w:i/>
                <w:iCs/>
              </w:rPr>
            </w:pPr>
            <w:r w:rsidRPr="00A208D7">
              <w:rPr>
                <w:i/>
                <w:iCs/>
              </w:rPr>
              <w:t>Title</w:t>
            </w:r>
          </w:p>
        </w:tc>
      </w:tr>
      <w:tr w:rsidR="00A36C45" w14:paraId="39A2AA31" w14:textId="77777777" w:rsidTr="00FE149A">
        <w:tc>
          <w:tcPr>
            <w:tcW w:w="2520" w:type="dxa"/>
          </w:tcPr>
          <w:p w14:paraId="22ABC7AD" w14:textId="77777777" w:rsidR="00A36C45" w:rsidRDefault="00A36C45" w:rsidP="0030320F">
            <w:pPr>
              <w:pStyle w:val="BodyText"/>
              <w:spacing w:line="244" w:lineRule="auto"/>
              <w:ind w:right="20"/>
              <w:jc w:val="both"/>
            </w:pPr>
            <w:r w:rsidRPr="006209BC">
              <w:t>IEC 60034-19</w:t>
            </w:r>
          </w:p>
        </w:tc>
        <w:tc>
          <w:tcPr>
            <w:tcW w:w="7560" w:type="dxa"/>
          </w:tcPr>
          <w:p w14:paraId="3317F870" w14:textId="77777777" w:rsidR="00A36C45" w:rsidRDefault="00A36C45" w:rsidP="0030320F">
            <w:pPr>
              <w:pStyle w:val="BodyText"/>
              <w:spacing w:line="244" w:lineRule="auto"/>
              <w:ind w:right="20"/>
              <w:jc w:val="both"/>
            </w:pPr>
            <w:r w:rsidRPr="006209BC">
              <w:t>Rotating electrical machines – Part 19:Specific test methods for DC machines</w:t>
            </w:r>
            <w:r>
              <w:t xml:space="preserve"> </w:t>
            </w:r>
            <w:r w:rsidRPr="006209BC">
              <w:t>on conventional and rectifier-fed supplies</w:t>
            </w:r>
          </w:p>
        </w:tc>
      </w:tr>
      <w:tr w:rsidR="00A36C45" w14:paraId="5A5D0C08" w14:textId="77777777" w:rsidTr="00FE149A">
        <w:tc>
          <w:tcPr>
            <w:tcW w:w="2520" w:type="dxa"/>
          </w:tcPr>
          <w:p w14:paraId="3067FAE9" w14:textId="77777777" w:rsidR="00A36C45" w:rsidRPr="006209BC" w:rsidRDefault="00A36C45" w:rsidP="0030320F">
            <w:pPr>
              <w:pStyle w:val="BodyText"/>
              <w:spacing w:line="244" w:lineRule="auto"/>
              <w:ind w:right="20"/>
              <w:jc w:val="both"/>
            </w:pPr>
            <w:r w:rsidRPr="00844FAF">
              <w:t>IEC 60034-29</w:t>
            </w:r>
          </w:p>
        </w:tc>
        <w:tc>
          <w:tcPr>
            <w:tcW w:w="7560" w:type="dxa"/>
          </w:tcPr>
          <w:p w14:paraId="20117FB5" w14:textId="77777777" w:rsidR="00A36C45" w:rsidRPr="006209BC" w:rsidRDefault="00A36C45" w:rsidP="0030320F">
            <w:pPr>
              <w:widowControl/>
              <w:adjustRightInd w:val="0"/>
              <w:jc w:val="both"/>
            </w:pPr>
            <w:r w:rsidRPr="00844FAF">
              <w:rPr>
                <w:sz w:val="24"/>
                <w:szCs w:val="24"/>
              </w:rPr>
              <w:t xml:space="preserve">Rotating electrical machines – </w:t>
            </w:r>
            <w:r w:rsidR="0030320F">
              <w:rPr>
                <w:sz w:val="24"/>
                <w:szCs w:val="24"/>
              </w:rPr>
              <w:t xml:space="preserve">Part 29: Equivalent loading and </w:t>
            </w:r>
            <w:r w:rsidRPr="00844FAF">
              <w:rPr>
                <w:sz w:val="24"/>
                <w:szCs w:val="24"/>
              </w:rPr>
              <w:t>superposition</w:t>
            </w:r>
            <w:r>
              <w:rPr>
                <w:sz w:val="24"/>
                <w:szCs w:val="24"/>
              </w:rPr>
              <w:t xml:space="preserve"> </w:t>
            </w:r>
            <w:r w:rsidRPr="00844FAF">
              <w:rPr>
                <w:sz w:val="24"/>
                <w:szCs w:val="24"/>
              </w:rPr>
              <w:t>techniques – Indirect testing to determine temperature rise</w:t>
            </w:r>
          </w:p>
        </w:tc>
      </w:tr>
    </w:tbl>
    <w:p w14:paraId="3EA38179" w14:textId="77777777" w:rsidR="00A36C45" w:rsidRDefault="00A36C45" w:rsidP="00A36C45">
      <w:pPr>
        <w:pStyle w:val="BodyText"/>
        <w:spacing w:line="244" w:lineRule="auto"/>
        <w:ind w:right="20"/>
        <w:jc w:val="both"/>
      </w:pPr>
    </w:p>
    <w:p w14:paraId="21AACE62" w14:textId="77777777" w:rsidR="00A36C45" w:rsidRDefault="00A36C45" w:rsidP="00A36C45">
      <w:pPr>
        <w:pStyle w:val="BodyText"/>
        <w:spacing w:line="244" w:lineRule="auto"/>
        <w:ind w:right="20"/>
        <w:jc w:val="both"/>
      </w:pPr>
      <w:r w:rsidRPr="004F7BF9">
        <w:t>Only English language text has been retained while adopting it in this Indian Standard, and as such the</w:t>
      </w:r>
      <w:r>
        <w:t xml:space="preserve"> </w:t>
      </w:r>
      <w:r w:rsidRPr="004F7BF9">
        <w:t>page numbers given here are not the same as in the International Standard.</w:t>
      </w:r>
    </w:p>
    <w:p w14:paraId="30BC4DC2" w14:textId="77777777" w:rsidR="00A36C45" w:rsidRDefault="00A36C45" w:rsidP="00A36C45">
      <w:pPr>
        <w:pStyle w:val="BodyText"/>
        <w:spacing w:line="244" w:lineRule="auto"/>
        <w:ind w:right="20"/>
        <w:jc w:val="both"/>
      </w:pPr>
    </w:p>
    <w:p w14:paraId="42FFE23E" w14:textId="77777777" w:rsidR="00A36C45" w:rsidRDefault="00A36C45" w:rsidP="00A36C45">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F9533F">
        <w:rPr>
          <w:i/>
          <w:iCs/>
        </w:rPr>
        <w:t>second</w:t>
      </w:r>
      <w:r w:rsidRPr="00AC0112">
        <w:rPr>
          <w:i/>
          <w:iCs/>
        </w:rPr>
        <w:t xml:space="preserve"> revision</w:t>
      </w:r>
      <w:r>
        <w:t>)’. The number of significant places retained in the rounded off value should be the same as that of the specified value in this standard.</w:t>
      </w:r>
    </w:p>
    <w:p w14:paraId="6D974B66" w14:textId="77777777" w:rsidR="009D0042" w:rsidRDefault="009D0042" w:rsidP="009D0042">
      <w:pPr>
        <w:pStyle w:val="BodyText"/>
        <w:jc w:val="both"/>
      </w:pPr>
    </w:p>
    <w:sectPr w:rsidR="009D0042" w:rsidSect="0007671F">
      <w:headerReference w:type="default" r:id="rId12"/>
      <w:pgSz w:w="11906" w:h="16838" w:code="9"/>
      <w:pgMar w:top="1440" w:right="1440" w:bottom="1440" w:left="144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071DE" w14:textId="77777777" w:rsidR="0009747C" w:rsidRDefault="0009747C">
      <w:r>
        <w:separator/>
      </w:r>
    </w:p>
  </w:endnote>
  <w:endnote w:type="continuationSeparator" w:id="0">
    <w:p w14:paraId="5675A590" w14:textId="77777777" w:rsidR="0009747C" w:rsidRDefault="0009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78FB" w14:textId="77777777" w:rsidR="0009747C" w:rsidRDefault="0009747C">
      <w:r>
        <w:separator/>
      </w:r>
    </w:p>
  </w:footnote>
  <w:footnote w:type="continuationSeparator" w:id="0">
    <w:p w14:paraId="273243BE" w14:textId="77777777" w:rsidR="0009747C" w:rsidRDefault="0009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3D73" w14:textId="77777777" w:rsidR="00FB2D6E" w:rsidRDefault="008875E9">
    <w:pPr>
      <w:pStyle w:val="BodyText"/>
      <w:spacing w:line="14" w:lineRule="auto"/>
      <w:rPr>
        <w:sz w:val="20"/>
      </w:rPr>
    </w:pPr>
    <w:r>
      <w:pict w14:anchorId="3B451536">
        <v:shapetype id="_x0000_t202" coordsize="21600,21600" o:spt="202" path="m,l,21600r21600,l21600,xe">
          <v:stroke joinstyle="miter"/>
          <v:path gradientshapeok="t" o:connecttype="rect"/>
        </v:shapetype>
        <v:shape id="_x0000_s2049" type="#_x0000_t202" style="position:absolute;margin-left:458.2pt;margin-top:35.6pt;width:103.55pt;height:29.05pt;z-index:-251658752;mso-position-horizontal-relative:page;mso-position-vertical-relative:page" filled="f" stroked="f">
          <v:textbox style="mso-next-textbox:#_x0000_s2049" inset="0,0,0,0">
            <w:txbxContent>
              <w:p w14:paraId="616C482A" w14:textId="77777777" w:rsidR="00FB2D6E" w:rsidRPr="00990A17" w:rsidRDefault="00FB2D6E" w:rsidP="00990A17"/>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15:restartNumberingAfterBreak="0">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15:restartNumberingAfterBreak="0">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15:restartNumberingAfterBreak="0">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15:restartNumberingAfterBreak="0">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16cid:durableId="501623379">
    <w:abstractNumId w:val="0"/>
  </w:num>
  <w:num w:numId="2" w16cid:durableId="53168839">
    <w:abstractNumId w:val="4"/>
  </w:num>
  <w:num w:numId="3" w16cid:durableId="916399370">
    <w:abstractNumId w:val="3"/>
  </w:num>
  <w:num w:numId="4" w16cid:durableId="2072457566">
    <w:abstractNumId w:val="6"/>
  </w:num>
  <w:num w:numId="5" w16cid:durableId="1708215758">
    <w:abstractNumId w:val="2"/>
  </w:num>
  <w:num w:numId="6" w16cid:durableId="34700495">
    <w:abstractNumId w:val="1"/>
  </w:num>
  <w:num w:numId="7" w16cid:durableId="8423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384B"/>
    <w:rsid w:val="00002A44"/>
    <w:rsid w:val="000034B0"/>
    <w:rsid w:val="00004FCA"/>
    <w:rsid w:val="00021E35"/>
    <w:rsid w:val="00023D51"/>
    <w:rsid w:val="0002510E"/>
    <w:rsid w:val="00030859"/>
    <w:rsid w:val="000316ED"/>
    <w:rsid w:val="00037C78"/>
    <w:rsid w:val="00040323"/>
    <w:rsid w:val="00056B38"/>
    <w:rsid w:val="00061202"/>
    <w:rsid w:val="00061338"/>
    <w:rsid w:val="00074EF0"/>
    <w:rsid w:val="0007671F"/>
    <w:rsid w:val="0009747C"/>
    <w:rsid w:val="000B121C"/>
    <w:rsid w:val="000B3E65"/>
    <w:rsid w:val="000C3650"/>
    <w:rsid w:val="000D5E5D"/>
    <w:rsid w:val="000E32D7"/>
    <w:rsid w:val="001168E9"/>
    <w:rsid w:val="00125D5B"/>
    <w:rsid w:val="00131B92"/>
    <w:rsid w:val="00136DCF"/>
    <w:rsid w:val="00145988"/>
    <w:rsid w:val="00155C75"/>
    <w:rsid w:val="00163987"/>
    <w:rsid w:val="001875E8"/>
    <w:rsid w:val="001A0B24"/>
    <w:rsid w:val="001A11DB"/>
    <w:rsid w:val="001A21B4"/>
    <w:rsid w:val="001A5EA1"/>
    <w:rsid w:val="001A6F17"/>
    <w:rsid w:val="001C1E61"/>
    <w:rsid w:val="001C462F"/>
    <w:rsid w:val="001F7066"/>
    <w:rsid w:val="00203321"/>
    <w:rsid w:val="00211F75"/>
    <w:rsid w:val="00212369"/>
    <w:rsid w:val="0021301E"/>
    <w:rsid w:val="00241081"/>
    <w:rsid w:val="00241261"/>
    <w:rsid w:val="0026010A"/>
    <w:rsid w:val="00271B39"/>
    <w:rsid w:val="00271EDA"/>
    <w:rsid w:val="002A0194"/>
    <w:rsid w:val="002A2DE8"/>
    <w:rsid w:val="002F3C9F"/>
    <w:rsid w:val="00300584"/>
    <w:rsid w:val="0030320F"/>
    <w:rsid w:val="00311253"/>
    <w:rsid w:val="00316CDE"/>
    <w:rsid w:val="00356343"/>
    <w:rsid w:val="00360143"/>
    <w:rsid w:val="00360E1F"/>
    <w:rsid w:val="00377C08"/>
    <w:rsid w:val="00381881"/>
    <w:rsid w:val="00395DE9"/>
    <w:rsid w:val="003A7067"/>
    <w:rsid w:val="003C784D"/>
    <w:rsid w:val="003D664B"/>
    <w:rsid w:val="003F5363"/>
    <w:rsid w:val="00410677"/>
    <w:rsid w:val="00422F89"/>
    <w:rsid w:val="004269A7"/>
    <w:rsid w:val="00430412"/>
    <w:rsid w:val="00446AC5"/>
    <w:rsid w:val="0046217D"/>
    <w:rsid w:val="004741FE"/>
    <w:rsid w:val="004916A5"/>
    <w:rsid w:val="004926E9"/>
    <w:rsid w:val="0049647A"/>
    <w:rsid w:val="004A3979"/>
    <w:rsid w:val="004C5494"/>
    <w:rsid w:val="004D17E1"/>
    <w:rsid w:val="004D6092"/>
    <w:rsid w:val="004E0EC8"/>
    <w:rsid w:val="004F781A"/>
    <w:rsid w:val="00501F79"/>
    <w:rsid w:val="005025CE"/>
    <w:rsid w:val="00505346"/>
    <w:rsid w:val="005314D0"/>
    <w:rsid w:val="00544EE1"/>
    <w:rsid w:val="005470F9"/>
    <w:rsid w:val="00551558"/>
    <w:rsid w:val="00552D6A"/>
    <w:rsid w:val="005539C4"/>
    <w:rsid w:val="00574FE2"/>
    <w:rsid w:val="00586952"/>
    <w:rsid w:val="005B1766"/>
    <w:rsid w:val="005C2127"/>
    <w:rsid w:val="005C5AED"/>
    <w:rsid w:val="005C7981"/>
    <w:rsid w:val="005D57A4"/>
    <w:rsid w:val="005D76CB"/>
    <w:rsid w:val="005E3510"/>
    <w:rsid w:val="005E73E6"/>
    <w:rsid w:val="005F0A56"/>
    <w:rsid w:val="005F523C"/>
    <w:rsid w:val="0060795A"/>
    <w:rsid w:val="00617A8E"/>
    <w:rsid w:val="0062081F"/>
    <w:rsid w:val="00625DD7"/>
    <w:rsid w:val="00632307"/>
    <w:rsid w:val="006350D6"/>
    <w:rsid w:val="00635317"/>
    <w:rsid w:val="00646DCE"/>
    <w:rsid w:val="00647A35"/>
    <w:rsid w:val="00647E39"/>
    <w:rsid w:val="006635EB"/>
    <w:rsid w:val="00671318"/>
    <w:rsid w:val="0068256B"/>
    <w:rsid w:val="00685EAD"/>
    <w:rsid w:val="00691CC5"/>
    <w:rsid w:val="0069497B"/>
    <w:rsid w:val="00696BEA"/>
    <w:rsid w:val="006B0C4B"/>
    <w:rsid w:val="006B24BA"/>
    <w:rsid w:val="006B2519"/>
    <w:rsid w:val="006B2FE1"/>
    <w:rsid w:val="006C1944"/>
    <w:rsid w:val="006D2C77"/>
    <w:rsid w:val="006F51D3"/>
    <w:rsid w:val="00715C77"/>
    <w:rsid w:val="0072345C"/>
    <w:rsid w:val="007247C7"/>
    <w:rsid w:val="00735069"/>
    <w:rsid w:val="00740066"/>
    <w:rsid w:val="00744694"/>
    <w:rsid w:val="00751CFD"/>
    <w:rsid w:val="00774096"/>
    <w:rsid w:val="00774D70"/>
    <w:rsid w:val="007C16C9"/>
    <w:rsid w:val="007D2118"/>
    <w:rsid w:val="0081274E"/>
    <w:rsid w:val="00821F98"/>
    <w:rsid w:val="008359F9"/>
    <w:rsid w:val="00836602"/>
    <w:rsid w:val="00847182"/>
    <w:rsid w:val="008524EA"/>
    <w:rsid w:val="00861B3B"/>
    <w:rsid w:val="00866135"/>
    <w:rsid w:val="0088204D"/>
    <w:rsid w:val="008875E9"/>
    <w:rsid w:val="008C295A"/>
    <w:rsid w:val="008D0FBB"/>
    <w:rsid w:val="008D3483"/>
    <w:rsid w:val="008F1D16"/>
    <w:rsid w:val="008F6D5E"/>
    <w:rsid w:val="00924F88"/>
    <w:rsid w:val="0092708A"/>
    <w:rsid w:val="009374FD"/>
    <w:rsid w:val="00940BFA"/>
    <w:rsid w:val="009433F3"/>
    <w:rsid w:val="00990A17"/>
    <w:rsid w:val="00992E8A"/>
    <w:rsid w:val="009B6106"/>
    <w:rsid w:val="009C01AC"/>
    <w:rsid w:val="009C4EAA"/>
    <w:rsid w:val="009D0042"/>
    <w:rsid w:val="009D715B"/>
    <w:rsid w:val="009F3C80"/>
    <w:rsid w:val="00A01D5D"/>
    <w:rsid w:val="00A032C1"/>
    <w:rsid w:val="00A10624"/>
    <w:rsid w:val="00A12EB6"/>
    <w:rsid w:val="00A2242E"/>
    <w:rsid w:val="00A24E22"/>
    <w:rsid w:val="00A36C45"/>
    <w:rsid w:val="00A7286C"/>
    <w:rsid w:val="00A7333C"/>
    <w:rsid w:val="00A75D5F"/>
    <w:rsid w:val="00AA144A"/>
    <w:rsid w:val="00AA2DB0"/>
    <w:rsid w:val="00AB1D78"/>
    <w:rsid w:val="00AC457B"/>
    <w:rsid w:val="00AD1240"/>
    <w:rsid w:val="00AD496C"/>
    <w:rsid w:val="00AD5249"/>
    <w:rsid w:val="00AD6D83"/>
    <w:rsid w:val="00B04A2D"/>
    <w:rsid w:val="00B31AEA"/>
    <w:rsid w:val="00B40E7A"/>
    <w:rsid w:val="00B465A4"/>
    <w:rsid w:val="00B67AAA"/>
    <w:rsid w:val="00B71112"/>
    <w:rsid w:val="00B74C44"/>
    <w:rsid w:val="00B86D82"/>
    <w:rsid w:val="00B900E3"/>
    <w:rsid w:val="00B95936"/>
    <w:rsid w:val="00BC349E"/>
    <w:rsid w:val="00BD35EF"/>
    <w:rsid w:val="00BE54C2"/>
    <w:rsid w:val="00BF3681"/>
    <w:rsid w:val="00C07DCD"/>
    <w:rsid w:val="00C45F88"/>
    <w:rsid w:val="00C4766A"/>
    <w:rsid w:val="00C53688"/>
    <w:rsid w:val="00C55EDE"/>
    <w:rsid w:val="00C624B8"/>
    <w:rsid w:val="00C75FED"/>
    <w:rsid w:val="00C80014"/>
    <w:rsid w:val="00C94A83"/>
    <w:rsid w:val="00CA7E07"/>
    <w:rsid w:val="00CB093F"/>
    <w:rsid w:val="00CD39B4"/>
    <w:rsid w:val="00D1108E"/>
    <w:rsid w:val="00D46038"/>
    <w:rsid w:val="00D715EA"/>
    <w:rsid w:val="00D900D1"/>
    <w:rsid w:val="00DB1035"/>
    <w:rsid w:val="00DC1787"/>
    <w:rsid w:val="00DC3D58"/>
    <w:rsid w:val="00DD3054"/>
    <w:rsid w:val="00DD4942"/>
    <w:rsid w:val="00DF4490"/>
    <w:rsid w:val="00E0731C"/>
    <w:rsid w:val="00E162D4"/>
    <w:rsid w:val="00E1746A"/>
    <w:rsid w:val="00E2715D"/>
    <w:rsid w:val="00E33DE8"/>
    <w:rsid w:val="00E37A2F"/>
    <w:rsid w:val="00E403FD"/>
    <w:rsid w:val="00E56845"/>
    <w:rsid w:val="00E73D68"/>
    <w:rsid w:val="00E83972"/>
    <w:rsid w:val="00EA5F53"/>
    <w:rsid w:val="00EA7F06"/>
    <w:rsid w:val="00EA7F8D"/>
    <w:rsid w:val="00EC3C36"/>
    <w:rsid w:val="00EC3F66"/>
    <w:rsid w:val="00EE0EB2"/>
    <w:rsid w:val="00EE7706"/>
    <w:rsid w:val="00EF10D3"/>
    <w:rsid w:val="00EF74D8"/>
    <w:rsid w:val="00F16AF5"/>
    <w:rsid w:val="00F2247B"/>
    <w:rsid w:val="00F25DB7"/>
    <w:rsid w:val="00F30B65"/>
    <w:rsid w:val="00F337E1"/>
    <w:rsid w:val="00F33845"/>
    <w:rsid w:val="00F3384B"/>
    <w:rsid w:val="00F546BF"/>
    <w:rsid w:val="00F55D40"/>
    <w:rsid w:val="00F56DD9"/>
    <w:rsid w:val="00F716A2"/>
    <w:rsid w:val="00F73A58"/>
    <w:rsid w:val="00F76247"/>
    <w:rsid w:val="00FB2D6E"/>
    <w:rsid w:val="00FC51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DE5961"/>
  <w15:docId w15:val="{1C5C91F8-DB2E-4C19-B55C-7948BDC9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5DB7"/>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semiHidden/>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241081"/>
    <w:rPr>
      <w:rFonts w:ascii="Times New Roman" w:eastAsia="Times New Roman" w:hAnsi="Times New Roman" w:cs="Times New Roman"/>
      <w:sz w:val="24"/>
      <w:szCs w:val="24"/>
    </w:rPr>
  </w:style>
  <w:style w:type="paragraph" w:customStyle="1" w:styleId="Default">
    <w:name w:val="Default"/>
    <w:rsid w:val="006635EB"/>
    <w:pPr>
      <w:widowControl/>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015158965">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Jatin Tiwari</cp:lastModifiedBy>
  <cp:revision>25</cp:revision>
  <cp:lastPrinted>2024-09-02T11:15:00Z</cp:lastPrinted>
  <dcterms:created xsi:type="dcterms:W3CDTF">2024-08-16T09:42:00Z</dcterms:created>
  <dcterms:modified xsi:type="dcterms:W3CDTF">2024-10-29T11:42:00Z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