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C44" w:rsidRPr="00EA5F53" w:rsidRDefault="00B67E08" w:rsidP="0069088C">
      <w:pPr>
        <w:pStyle w:val="BodyText"/>
        <w:ind w:left="3870"/>
        <w:jc w:val="right"/>
        <w:rPr>
          <w:rFonts w:ascii="Arial" w:hAnsi="Arial" w:cs="Arial"/>
          <w:b/>
          <w:bCs/>
        </w:rPr>
      </w:pPr>
      <w:r w:rsidRPr="00B67E08">
        <w:rPr>
          <w:rFonts w:asciiTheme="minorBidi" w:hAnsiTheme="minorBidi"/>
          <w:noProof/>
          <w:sz w:val="22"/>
          <w:szCs w:val="22"/>
        </w:rPr>
        <w:pict>
          <v:rect id="Rectangle 13" o:spid="_x0000_s1026" style="position:absolute;left:0;text-align:left;margin-left:189.5pt;margin-top:-27.75pt;width:140.85pt;height:51.75pt;z-index:251609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PTjgIAAHcFAAAOAAAAZHJzL2Uyb0RvYy54bWysVEtvGyEQvlfqf0Dcm/W6Tu2svI6sRKkq&#10;WYmVpMoZs2CvwjIUsHfdX9+BfdhNox6qXhDDfPPkm5lfN5UiB2FdCTqn6cWIEqE5FKXe5vT7892n&#10;GSXOM10wBVrk9CgcvV58/DCvTSbGsANVCEvQiXZZbXK6895kSeL4TlTMXYARGpUSbMU8inabFJbV&#10;6L1SyXg0+pLUYAtjgQvn8PW2VdJF9C+l4P5BSic8UTnF3Hw8bTw34UwWc5ZtLTO7kndpsH/IomKl&#10;xqCDq1vmGdnb8g9XVcktOJD+gkOVgJQlF7EGrCYdvanmaceMiLVgc5wZ2uT+n1t+f1hbUhb4d58p&#10;0azCP3rErjG9VYLgGzaoNi5D3JNZ21CiMyvgrw4VyW+aILgO00hbBSwWSJrY7ePQbdF4wvExnc5m&#10;06tLSjjqpqPJ7DJ+R8Ky3tpY578KqEi45NRiXrHJ7LByPsRnWQ8JwZSO6YEqi7tSqSgEHokbZcmB&#10;IQM22zQUhHbuhEIpWMZi2vxjJf6oROv1UUjsEGY8jtEjN08+i9fep9KIDCYSow9G6XtGyvdGHTaY&#10;icjXwXD0nuEp2oCOEUH7wbAqNdi/G8sW31fd1hrK9s2maenQ//wGiiNSxEI7O87wuxK/Y8WcXzOL&#10;w4JjhQvAP+AhFdQ5he5GyQ7sz/feAx45jFpKahy+nLofe2YFJeqbRnZfpZNJmNYoTC6nYxTsuWZz&#10;rtH76gbwd1NcNYbHa8B71V+lheoF98QyREUV0xxj55R72ws3vl0KuGm4WC4jDCfUML/ST4YH56HP&#10;gW7PzQuzpuOkRzbfQz+oLHtDzRYbLDUs9x5kGXkbOt32tfsBnO5Iy24ThfVxLkfUaV8ufgEAAP//&#10;AwBQSwMEFAAGAAgAAAAhAHMY6CPcAAAACQEAAA8AAABkcnMvZG93bnJldi54bWxMj8FOwzAQRO9I&#10;/IO1SNyo06KkNMSpEBKcuBDK3Y23TtJ4HWInDX/PcoLj6K1m3xT7xfVixjG0nhSsVwkIpNqblqyC&#10;w8fL3QOIEDUZ3XtCBd8YYF9eXxU6N/5C7zhX0QouoZBrBU2MQy5lqBt0Oqz8gMTs5EenI8fRSjPq&#10;C5e7Xm6SJJNOt8QfGj3gc4P1uZqcgrdu1x1eO/r61NPuPM/VZO0Jlbq9WZ4eQURc4t8x/OqzOpTs&#10;dPQTmSB6BffblLdEBikI5lmabUEcOa83KciykP8XlD8AAAD//wMAUEsBAi0AFAAGAAgAAAAhALaD&#10;OJL+AAAA4QEAABMAAAAAAAAAAAAAAAAAAAAAAFtDb250ZW50X1R5cGVzXS54bWxQSwECLQAUAAYA&#10;CAAAACEAOP0h/9YAAACUAQAACwAAAAAAAAAAAAAAAAAvAQAAX3JlbHMvLnJlbHNQSwECLQAUAAYA&#10;CAAAACEAwjaz044CAAB3BQAADgAAAAAAAAAAAAAAAAAuAgAAZHJzL2Uyb0RvYy54bWxQSwECLQAU&#10;AAYACAAAACEAcxjoI9wAAAAJAQAADwAAAAAAAAAAAAAAAADoBAAAZHJzL2Rvd25yZXYueG1sUEsF&#10;BgAAAAAEAAQA8wAAAPEFAAAAAA==&#10;" fillcolor="white [3201]" strokecolor="white [3212]" strokeweight="2pt">
            <v:path arrowok="t"/>
            <v:textbox>
              <w:txbxContent>
                <w:p w:rsidR="001F7066" w:rsidRPr="00E73D3B" w:rsidRDefault="001F7066" w:rsidP="001F7066">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rFonts w:ascii="Arial" w:hAnsi="Arial" w:cs="Arial"/>
                      <w:b/>
                      <w:bCs/>
                      <w:i/>
                      <w:iCs/>
                      <w:sz w:val="28"/>
                      <w:szCs w:val="28"/>
                    </w:rPr>
                    <w:t>Indian Standards</w:t>
                  </w:r>
                </w:p>
              </w:txbxContent>
            </v:textbox>
            <w10:wrap anchorx="margin"/>
          </v:rect>
        </w:pict>
      </w:r>
      <w:r w:rsidR="001F7066">
        <w:t xml:space="preserve">                                      </w:t>
      </w:r>
      <w:r w:rsidR="00360143">
        <w:t xml:space="preserve">                   </w:t>
      </w:r>
      <w:r w:rsidR="0069088C" w:rsidRPr="0069088C">
        <w:rPr>
          <w:rFonts w:ascii="Arial" w:hAnsi="Arial" w:cs="Arial"/>
          <w:b/>
          <w:bCs/>
        </w:rPr>
        <w:t>IS/</w:t>
      </w:r>
      <w:r w:rsidR="0069088C" w:rsidRPr="00241081">
        <w:rPr>
          <w:rFonts w:ascii="Arial" w:hAnsi="Arial" w:cs="Arial"/>
          <w:b/>
          <w:bCs/>
        </w:rPr>
        <w:t>IEC 60034-23: 2019</w:t>
      </w:r>
      <w:r w:rsidR="00360143">
        <w:t xml:space="preserve"> </w:t>
      </w:r>
    </w:p>
    <w:p w:rsidR="001F7066" w:rsidRPr="008D0FBB" w:rsidRDefault="00B67E08" w:rsidP="009374FD">
      <w:pPr>
        <w:ind w:left="3780"/>
        <w:jc w:val="center"/>
        <w:rPr>
          <w:rFonts w:ascii="Arial" w:hAnsi="Arial" w:cs="Arial"/>
          <w:b/>
          <w:sz w:val="36"/>
          <w:szCs w:val="32"/>
        </w:rPr>
      </w:pPr>
      <w:r w:rsidRPr="00B67E08">
        <w:rPr>
          <w:rFonts w:ascii="Arial" w:hAnsi="Arial" w:cs="Arial"/>
          <w:noProof/>
          <w:sz w:val="24"/>
          <w:szCs w:val="24"/>
        </w:rPr>
      </w:r>
      <w:r w:rsidRPr="00B67E08">
        <w:rPr>
          <w:rFonts w:ascii="Arial" w:hAnsi="Arial" w:cs="Arial"/>
          <w:noProof/>
          <w:sz w:val="24"/>
          <w:szCs w:val="24"/>
        </w:rPr>
        <w:pict>
          <v:group id="Group 14" o:spid="_x0000_s1043" style="width:322.95pt;height:4.3pt;flip:y;mso-position-horizontal-relative:char;mso-position-vertical-relative:line" coordsize="6347,100">
            <v:line id="Line 9" o:spid="_x0000_s1027" style="position:absolute;visibility:visibl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v:line id="Line 10" o:spid="_x0000_s1028" style="position:absolute;visibility:visibl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1" o:spid="_x0000_s1029" style="position:absolute;visibility:visibl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w10:wrap type="none"/>
            <w10:anchorlock/>
          </v:group>
        </w:pict>
      </w:r>
    </w:p>
    <w:p w:rsidR="00241081" w:rsidRPr="00FB3433" w:rsidRDefault="00241081" w:rsidP="00241081">
      <w:pPr>
        <w:pStyle w:val="BodyText"/>
        <w:ind w:left="3780"/>
        <w:jc w:val="center"/>
        <w:rPr>
          <w:rFonts w:ascii="Kokila" w:hAnsi="Kokila" w:cs="Kokila"/>
          <w:sz w:val="32"/>
          <w:szCs w:val="32"/>
          <w:lang w:bidi="hi-IN"/>
        </w:rPr>
      </w:pPr>
    </w:p>
    <w:p w:rsidR="00241081" w:rsidRPr="00FB3433" w:rsidRDefault="00241081" w:rsidP="00241081">
      <w:pPr>
        <w:pStyle w:val="BodyText"/>
        <w:ind w:left="3780"/>
        <w:jc w:val="center"/>
        <w:rPr>
          <w:rFonts w:ascii="Kokila" w:hAnsi="Kokila" w:cs="Kokila"/>
          <w:sz w:val="52"/>
          <w:szCs w:val="52"/>
        </w:rPr>
      </w:pPr>
      <w:r w:rsidRPr="00FB3433">
        <w:rPr>
          <w:rFonts w:ascii="Kokila" w:hAnsi="Kokila" w:cs="Kokila"/>
          <w:sz w:val="52"/>
          <w:szCs w:val="52"/>
          <w:lang w:bidi="hi-IN"/>
        </w:rPr>
        <w:t xml:space="preserve"> </w:t>
      </w:r>
      <w:r w:rsidR="0093605B" w:rsidRPr="00FB3433">
        <w:rPr>
          <w:rFonts w:ascii="Kokila" w:hAnsi="Kokila" w:cs="Kokila" w:hint="cs"/>
          <w:sz w:val="52"/>
          <w:szCs w:val="52"/>
          <w:cs/>
          <w:lang w:bidi="hi-IN"/>
        </w:rPr>
        <w:t>घूर्णी</w:t>
      </w:r>
      <w:r w:rsidRPr="00FB3433">
        <w:rPr>
          <w:rFonts w:ascii="Kokila" w:hAnsi="Kokila" w:cs="Kokila"/>
          <w:sz w:val="52"/>
          <w:szCs w:val="52"/>
          <w:cs/>
          <w:lang w:bidi="hi-IN"/>
        </w:rPr>
        <w:t xml:space="preserve"> </w:t>
      </w:r>
      <w:r w:rsidRPr="00FB3433">
        <w:rPr>
          <w:rFonts w:ascii="Kokila" w:hAnsi="Kokila" w:cs="Kokila" w:hint="cs"/>
          <w:sz w:val="52"/>
          <w:szCs w:val="52"/>
          <w:cs/>
          <w:lang w:bidi="hi-IN"/>
        </w:rPr>
        <w:t>विद्युत</w:t>
      </w:r>
      <w:r w:rsidRPr="00FB3433">
        <w:rPr>
          <w:rFonts w:ascii="Kokila" w:hAnsi="Kokila" w:cs="Kokila"/>
          <w:sz w:val="52"/>
          <w:szCs w:val="52"/>
          <w:cs/>
          <w:lang w:bidi="hi-IN"/>
        </w:rPr>
        <w:t xml:space="preserve"> </w:t>
      </w:r>
      <w:r w:rsidRPr="00FB3433">
        <w:rPr>
          <w:rFonts w:ascii="Kokila" w:hAnsi="Kokila" w:cs="Kokila" w:hint="cs"/>
          <w:sz w:val="52"/>
          <w:szCs w:val="52"/>
          <w:cs/>
          <w:lang w:bidi="hi-IN"/>
        </w:rPr>
        <w:t>मशीनें</w:t>
      </w:r>
    </w:p>
    <w:p w:rsidR="00AD496C" w:rsidRPr="00FB3433" w:rsidRDefault="00241081" w:rsidP="00241081">
      <w:pPr>
        <w:pStyle w:val="BodyText"/>
        <w:ind w:left="3780"/>
        <w:jc w:val="center"/>
        <w:rPr>
          <w:rFonts w:ascii="Kokila" w:hAnsi="Kokila" w:cs="Kokila"/>
          <w:sz w:val="52"/>
          <w:szCs w:val="52"/>
          <w:lang w:bidi="hi-IN"/>
        </w:rPr>
      </w:pPr>
      <w:r w:rsidRPr="00FB3433">
        <w:rPr>
          <w:rFonts w:ascii="Kokila" w:hAnsi="Kokila" w:cs="Kokila" w:hint="cs"/>
          <w:sz w:val="52"/>
          <w:szCs w:val="52"/>
          <w:cs/>
          <w:lang w:bidi="hi-IN"/>
        </w:rPr>
        <w:t>भाग</w:t>
      </w:r>
      <w:r w:rsidRPr="00FB3433">
        <w:rPr>
          <w:rFonts w:ascii="Kokila" w:hAnsi="Kokila" w:cs="Kokila"/>
          <w:sz w:val="52"/>
          <w:szCs w:val="52"/>
          <w:cs/>
          <w:lang w:bidi="hi-IN"/>
        </w:rPr>
        <w:t xml:space="preserve"> </w:t>
      </w:r>
      <w:r w:rsidRPr="00FB3433">
        <w:rPr>
          <w:rFonts w:ascii="Kokila" w:hAnsi="Kokila" w:cs="Kokila"/>
          <w:sz w:val="52"/>
          <w:szCs w:val="52"/>
        </w:rPr>
        <w:t xml:space="preserve">23 </w:t>
      </w:r>
      <w:r w:rsidRPr="00FB3433">
        <w:rPr>
          <w:rFonts w:ascii="Kokila" w:hAnsi="Kokila" w:cs="Kokila" w:hint="cs"/>
          <w:sz w:val="52"/>
          <w:szCs w:val="52"/>
          <w:cs/>
          <w:lang w:bidi="hi-IN"/>
        </w:rPr>
        <w:t>मरम्मत</w:t>
      </w:r>
      <w:r w:rsidRPr="00FB3433">
        <w:rPr>
          <w:rFonts w:ascii="Kokila" w:hAnsi="Kokila" w:cs="Kokila"/>
          <w:sz w:val="52"/>
          <w:szCs w:val="52"/>
        </w:rPr>
        <w:t xml:space="preserve">, </w:t>
      </w:r>
      <w:r w:rsidRPr="00FB3433">
        <w:rPr>
          <w:rFonts w:ascii="Kokila" w:hAnsi="Kokila" w:cs="Kokila" w:hint="cs"/>
          <w:sz w:val="52"/>
          <w:szCs w:val="52"/>
          <w:cs/>
          <w:lang w:bidi="hi-IN"/>
        </w:rPr>
        <w:t>ओवरहाल</w:t>
      </w:r>
      <w:r w:rsidRPr="00FB3433">
        <w:rPr>
          <w:rFonts w:ascii="Kokila" w:hAnsi="Kokila" w:cs="Kokila"/>
          <w:sz w:val="52"/>
          <w:szCs w:val="52"/>
          <w:cs/>
          <w:lang w:bidi="hi-IN"/>
        </w:rPr>
        <w:t xml:space="preserve"> </w:t>
      </w:r>
      <w:r w:rsidRPr="00FB3433">
        <w:rPr>
          <w:rFonts w:ascii="Kokila" w:hAnsi="Kokila" w:cs="Kokila" w:hint="cs"/>
          <w:sz w:val="52"/>
          <w:szCs w:val="52"/>
          <w:cs/>
          <w:lang w:bidi="hi-IN"/>
        </w:rPr>
        <w:t>और</w:t>
      </w:r>
      <w:r w:rsidRPr="00FB3433">
        <w:rPr>
          <w:rFonts w:ascii="Kokila" w:hAnsi="Kokila" w:cs="Kokila"/>
          <w:sz w:val="52"/>
          <w:szCs w:val="52"/>
          <w:cs/>
          <w:lang w:bidi="hi-IN"/>
        </w:rPr>
        <w:t xml:space="preserve"> </w:t>
      </w:r>
      <w:r w:rsidRPr="00FB3433">
        <w:rPr>
          <w:rFonts w:ascii="Kokila" w:hAnsi="Kokila" w:cs="Kokila" w:hint="cs"/>
          <w:sz w:val="52"/>
          <w:szCs w:val="52"/>
          <w:cs/>
          <w:lang w:bidi="hi-IN"/>
        </w:rPr>
        <w:t>पुनर्ग्रहण</w:t>
      </w:r>
      <w:r w:rsidR="00740066" w:rsidRPr="00FB3433">
        <w:rPr>
          <w:rFonts w:ascii="Kokila" w:hAnsi="Kokila" w:cs="Kokila" w:hint="cs"/>
          <w:sz w:val="52"/>
          <w:szCs w:val="52"/>
          <w:cs/>
          <w:lang w:bidi="hi-IN"/>
        </w:rPr>
        <w:t xml:space="preserve"> </w:t>
      </w:r>
    </w:p>
    <w:p w:rsidR="00241081" w:rsidRPr="00FB3433" w:rsidRDefault="00241081" w:rsidP="00EA7F8D">
      <w:pPr>
        <w:pStyle w:val="BodyText"/>
        <w:ind w:left="3780"/>
        <w:jc w:val="center"/>
        <w:rPr>
          <w:rFonts w:ascii="Kokila" w:hAnsi="Kokila" w:cs="Kokila"/>
          <w:i/>
          <w:iCs/>
          <w:sz w:val="28"/>
          <w:szCs w:val="28"/>
          <w:cs/>
          <w:lang w:bidi="hi-IN"/>
        </w:rPr>
      </w:pPr>
    </w:p>
    <w:p w:rsidR="00EA7F8D" w:rsidRPr="00FB3433" w:rsidRDefault="00EA7F8D" w:rsidP="00EA7F8D">
      <w:pPr>
        <w:pStyle w:val="BodyText"/>
        <w:ind w:left="4050"/>
        <w:jc w:val="center"/>
        <w:rPr>
          <w:rFonts w:ascii="Kokila" w:hAnsi="Kokila" w:cs="Kokila"/>
          <w:sz w:val="40"/>
          <w:szCs w:val="40"/>
        </w:rPr>
      </w:pPr>
    </w:p>
    <w:p w:rsidR="00241081" w:rsidRPr="00FB3433" w:rsidRDefault="00241081" w:rsidP="00241081">
      <w:pPr>
        <w:pStyle w:val="BodyText"/>
        <w:ind w:left="3780"/>
        <w:jc w:val="center"/>
        <w:rPr>
          <w:rFonts w:ascii="Arial" w:hAnsi="Arial" w:cs="Arial"/>
          <w:sz w:val="36"/>
          <w:szCs w:val="36"/>
        </w:rPr>
      </w:pPr>
      <w:r w:rsidRPr="00FB3433">
        <w:rPr>
          <w:rFonts w:ascii="Arial" w:hAnsi="Arial" w:cs="Arial"/>
          <w:sz w:val="36"/>
          <w:szCs w:val="36"/>
        </w:rPr>
        <w:t>Rotating Electrical Machines</w:t>
      </w:r>
    </w:p>
    <w:p w:rsidR="00241081" w:rsidRPr="00FB3433" w:rsidRDefault="00241081" w:rsidP="00241081">
      <w:pPr>
        <w:pStyle w:val="BodyText"/>
        <w:ind w:left="2160" w:firstLine="720"/>
        <w:jc w:val="center"/>
        <w:rPr>
          <w:rFonts w:ascii="Arial" w:hAnsi="Arial" w:cs="Arial"/>
          <w:sz w:val="32"/>
          <w:szCs w:val="32"/>
        </w:rPr>
      </w:pPr>
      <w:r w:rsidRPr="00FB3433">
        <w:rPr>
          <w:rFonts w:ascii="Arial" w:hAnsi="Arial" w:cs="Arial"/>
          <w:sz w:val="32"/>
          <w:szCs w:val="32"/>
        </w:rPr>
        <w:t>Part 23 Repair, Overhaul and Reclamation</w:t>
      </w:r>
    </w:p>
    <w:p w:rsidR="009374FD" w:rsidRPr="00EA7F8D" w:rsidRDefault="009374FD" w:rsidP="00EA7F8D">
      <w:pPr>
        <w:pStyle w:val="BodyText"/>
        <w:ind w:left="3780"/>
        <w:jc w:val="center"/>
        <w:rPr>
          <w:rFonts w:ascii="Arial" w:hAnsi="Arial" w:cs="Arial"/>
          <w:b/>
          <w:bCs/>
          <w:sz w:val="36"/>
          <w:szCs w:val="36"/>
        </w:rPr>
      </w:pPr>
    </w:p>
    <w:p w:rsidR="00360E1F" w:rsidRDefault="00360E1F" w:rsidP="00EA5F53">
      <w:pPr>
        <w:pStyle w:val="BodyText"/>
        <w:ind w:left="3780"/>
        <w:jc w:val="center"/>
        <w:rPr>
          <w:rFonts w:asciiTheme="minorBidi" w:hAnsiTheme="minorBidi" w:cstheme="minorBidi"/>
          <w:bCs/>
          <w:i/>
          <w:iCs/>
          <w:sz w:val="28"/>
          <w:szCs w:val="28"/>
          <w:lang w:bidi="hi-IN"/>
        </w:rPr>
      </w:pPr>
    </w:p>
    <w:p w:rsidR="00EA7F8D" w:rsidRDefault="00EA7F8D" w:rsidP="00EA5F53">
      <w:pPr>
        <w:pStyle w:val="BodyText"/>
        <w:ind w:left="3780"/>
        <w:jc w:val="center"/>
        <w:rPr>
          <w:rFonts w:ascii="Arial" w:hAnsi="Arial" w:cs="Arial"/>
          <w:b/>
          <w:sz w:val="28"/>
          <w:szCs w:val="28"/>
        </w:rPr>
      </w:pPr>
    </w:p>
    <w:p w:rsidR="00A75D5F" w:rsidRPr="00EA5F53" w:rsidRDefault="00A75D5F" w:rsidP="00EA5F53">
      <w:pPr>
        <w:pStyle w:val="BodyText"/>
        <w:ind w:left="3780"/>
        <w:jc w:val="center"/>
        <w:rPr>
          <w:rFonts w:ascii="Arial" w:hAnsi="Arial" w:cs="Arial"/>
          <w:b/>
          <w:sz w:val="28"/>
          <w:szCs w:val="28"/>
        </w:rPr>
      </w:pPr>
    </w:p>
    <w:p w:rsidR="001F7066" w:rsidRPr="00EA5F53" w:rsidRDefault="005314D0" w:rsidP="00EA5F53">
      <w:pPr>
        <w:pStyle w:val="BodyText"/>
        <w:ind w:left="3780"/>
        <w:jc w:val="center"/>
        <w:rPr>
          <w:rFonts w:ascii="Arial" w:hAnsi="Arial" w:cs="Arial"/>
        </w:rPr>
      </w:pPr>
      <w:r w:rsidRPr="005314D0">
        <w:rPr>
          <w:rFonts w:ascii="Arial" w:hAnsi="Arial" w:cs="Arial"/>
        </w:rPr>
        <w:t>ICS 29.160.01</w:t>
      </w:r>
      <w:r>
        <w:rPr>
          <w:rFonts w:ascii="ArialMT" w:eastAsiaTheme="minorHAnsi" w:hAnsi="ArialMT" w:cs="ArialMT"/>
          <w:sz w:val="16"/>
          <w:szCs w:val="16"/>
          <w:lang w:bidi="hi-IN"/>
        </w:rPr>
        <w:t xml:space="preserve"> </w:t>
      </w:r>
    </w:p>
    <w:p w:rsidR="001F7066" w:rsidRPr="00EA5F53" w:rsidRDefault="001F7066" w:rsidP="00EA5F53">
      <w:pPr>
        <w:pStyle w:val="BodyText"/>
        <w:ind w:left="3780"/>
        <w:jc w:val="center"/>
        <w:rPr>
          <w:rFonts w:ascii="Arial" w:hAnsi="Arial" w:cs="Arial"/>
        </w:rPr>
      </w:pPr>
    </w:p>
    <w:p w:rsidR="001F7066" w:rsidRPr="00EA5F53" w:rsidRDefault="001F7066" w:rsidP="00EA5F53">
      <w:pPr>
        <w:pStyle w:val="BodyText"/>
        <w:ind w:left="3780"/>
        <w:jc w:val="center"/>
        <w:rPr>
          <w:rFonts w:ascii="Arial" w:hAnsi="Arial" w:cs="Arial"/>
        </w:rPr>
      </w:pPr>
    </w:p>
    <w:p w:rsidR="001F7066" w:rsidRPr="00EA5F53" w:rsidRDefault="001F7066" w:rsidP="00EA5F53">
      <w:pPr>
        <w:pStyle w:val="BodyText"/>
        <w:ind w:left="3780"/>
        <w:jc w:val="center"/>
        <w:rPr>
          <w:rFonts w:ascii="Arial" w:hAnsi="Arial" w:cs="Arial"/>
        </w:rPr>
      </w:pPr>
    </w:p>
    <w:p w:rsidR="001F7066" w:rsidRDefault="001F7066" w:rsidP="00EA5F53">
      <w:pPr>
        <w:pStyle w:val="BodyText"/>
        <w:ind w:left="3780"/>
        <w:jc w:val="center"/>
        <w:rPr>
          <w:rFonts w:ascii="Arial" w:hAnsi="Arial" w:cs="Arial"/>
        </w:rPr>
      </w:pPr>
    </w:p>
    <w:p w:rsidR="008D0FBB" w:rsidRPr="00EA5F53" w:rsidRDefault="008D0FBB" w:rsidP="00163987">
      <w:pPr>
        <w:pStyle w:val="BodyText"/>
        <w:ind w:left="3870"/>
        <w:jc w:val="center"/>
        <w:rPr>
          <w:rFonts w:ascii="Arial" w:hAnsi="Arial" w:cs="Arial"/>
        </w:rPr>
      </w:pPr>
    </w:p>
    <w:p w:rsidR="001F7066" w:rsidRPr="00EA5F53" w:rsidRDefault="00735069" w:rsidP="00EA5F53">
      <w:pPr>
        <w:pStyle w:val="BodyText"/>
        <w:ind w:left="3780"/>
        <w:jc w:val="center"/>
        <w:rPr>
          <w:rFonts w:ascii="Arial" w:hAnsi="Arial" w:cs="Arial"/>
        </w:rPr>
      </w:pPr>
      <w:r w:rsidRPr="00EA5F53">
        <w:rPr>
          <w:rFonts w:ascii="Arial" w:hAnsi="Arial" w:cs="Arial"/>
        </w:rPr>
        <w:t xml:space="preserve">© </w:t>
      </w:r>
      <w:r w:rsidR="00F30B65">
        <w:rPr>
          <w:rFonts w:ascii="Arial" w:hAnsi="Arial" w:cs="Arial"/>
        </w:rPr>
        <w:t>BIS 2024</w:t>
      </w:r>
    </w:p>
    <w:p w:rsidR="00EA7F06" w:rsidRPr="00EA5F53" w:rsidRDefault="00EA7F06" w:rsidP="00EA5F53">
      <w:pPr>
        <w:pStyle w:val="BodyText"/>
        <w:ind w:left="3780"/>
        <w:jc w:val="center"/>
        <w:rPr>
          <w:rFonts w:ascii="Arial" w:hAnsi="Arial" w:cs="Arial"/>
        </w:rPr>
      </w:pPr>
      <w:r w:rsidRPr="00EA5F53">
        <w:rPr>
          <w:rFonts w:ascii="Arial" w:hAnsi="Arial" w:cs="Arial"/>
        </w:rPr>
        <w:t xml:space="preserve">© IEC </w:t>
      </w:r>
      <w:r w:rsidR="00A2242E">
        <w:rPr>
          <w:rFonts w:ascii="Arial" w:hAnsi="Arial" w:cs="Arial"/>
        </w:rPr>
        <w:t>20</w:t>
      </w:r>
      <w:r w:rsidR="00241081">
        <w:rPr>
          <w:rFonts w:ascii="Arial" w:hAnsi="Arial" w:cs="Arial"/>
        </w:rPr>
        <w:t>19</w:t>
      </w:r>
    </w:p>
    <w:p w:rsidR="00EA7F06" w:rsidRPr="00473F72" w:rsidRDefault="00EA7F06" w:rsidP="00EA5F53">
      <w:pPr>
        <w:widowControl/>
        <w:autoSpaceDE/>
        <w:autoSpaceDN/>
        <w:ind w:left="3870"/>
        <w:jc w:val="center"/>
        <w:rPr>
          <w:rFonts w:ascii="Arial" w:hAnsi="Arial" w:cs="Arial"/>
          <w:sz w:val="10"/>
          <w:szCs w:val="24"/>
        </w:rPr>
      </w:pPr>
    </w:p>
    <w:p w:rsidR="00EA7F06" w:rsidRDefault="00EA7F06" w:rsidP="008D0FBB">
      <w:pPr>
        <w:widowControl/>
        <w:autoSpaceDE/>
        <w:autoSpaceDN/>
        <w:spacing w:after="120"/>
        <w:ind w:left="3870"/>
        <w:jc w:val="center"/>
        <w:rPr>
          <w:rFonts w:ascii="Arial" w:hAnsi="Arial" w:cs="Arial"/>
          <w:sz w:val="24"/>
          <w:szCs w:val="24"/>
        </w:rPr>
      </w:pPr>
      <w:r w:rsidRPr="00473F72">
        <w:rPr>
          <w:rFonts w:ascii="Arial" w:hAnsi="Arial" w:cs="Arial"/>
          <w:noProof/>
          <w:sz w:val="24"/>
          <w:lang w:bidi="hi-IN"/>
        </w:rPr>
        <w:drawing>
          <wp:inline distT="0" distB="0" distL="0" distR="0">
            <wp:extent cx="419100" cy="4191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419100"/>
                    </a:xfrm>
                    <a:prstGeom prst="rect">
                      <a:avLst/>
                    </a:prstGeom>
                    <a:noFill/>
                    <a:ln>
                      <a:noFill/>
                    </a:ln>
                  </pic:spPr>
                </pic:pic>
              </a:graphicData>
            </a:graphic>
          </wp:inline>
        </w:drawing>
      </w:r>
      <w:r w:rsidRPr="00473F72">
        <w:rPr>
          <w:rFonts w:ascii="Arial" w:hAnsi="Arial" w:cs="Arial"/>
          <w:sz w:val="24"/>
          <w:szCs w:val="24"/>
        </w:rPr>
        <w:t xml:space="preserve">  </w:t>
      </w:r>
    </w:p>
    <w:p w:rsidR="001F7066" w:rsidRDefault="00B67E08" w:rsidP="00EA5F53">
      <w:pPr>
        <w:ind w:left="3870"/>
        <w:jc w:val="center"/>
        <w:rPr>
          <w:rFonts w:ascii="Arial" w:hAnsi="Arial"/>
          <w:sz w:val="24"/>
        </w:rPr>
      </w:pPr>
      <w:r w:rsidRPr="00B67E08">
        <w:rPr>
          <w:noProof/>
        </w:rPr>
      </w:r>
      <w:r w:rsidRPr="00B67E08">
        <w:rPr>
          <w:noProof/>
        </w:rPr>
        <w:pict>
          <v:group id="Group 18" o:spid="_x0000_s1039" style="width:325.9pt;height:4.25pt;flip:y;mso-position-horizontal-relative:char;mso-position-vertical-relative:line" coordsize="6347,100">
            <v:line id="Line 9" o:spid="_x0000_s1042" style="position:absolute;visibility:visibl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77cQAAADbAAAADwAAAGRycy9kb3ducmV2LnhtbESPQWvCQBCF74L/YRnBi+imWsSmrlIU&#10;az02FelxyE6TYHY27q4m/fduoeBthvfmfW+W687U4kbOV5YVPE0SEMS51RUXCo5fu/EChA/IGmvL&#10;pOCXPKxX/d4SU21b/qRbFgoRQ9inqKAMoUml9HlJBv3ENsRR+7HOYIirK6R22MZwU8tpksylwYoj&#10;ocSGNiXl5+xqIsRdktF2vj+039Nnm53fZydbz5QaDrq3VxCBuvAw/19/6Fj/Bf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3vtxAAAANsAAAAPAAAAAAAAAAAA&#10;AAAAAKECAABkcnMvZG93bnJldi54bWxQSwUGAAAAAAQABAD5AAAAkgMAAAAA&#10;" strokecolor="#231f20" strokeweight="1pt"/>
            <v:line id="Line 10" o:spid="_x0000_s1041" style="position:absolute;visibility:visibl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v:line id="Line 11" o:spid="_x0000_s1040" style="position:absolute;visibility:visibl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w10:wrap type="none"/>
            <w10:anchorlock/>
          </v:group>
        </w:pict>
      </w:r>
    </w:p>
    <w:p w:rsidR="008D0FBB" w:rsidRDefault="00B67E08" w:rsidP="008D0FBB">
      <w:pPr>
        <w:pStyle w:val="BodyText"/>
        <w:ind w:left="3870"/>
        <w:jc w:val="center"/>
        <w:rPr>
          <w:rFonts w:ascii="Kokila" w:hAnsi="Kokila" w:cs="Kokila"/>
          <w:caps/>
          <w:sz w:val="28"/>
          <w:szCs w:val="28"/>
          <w:lang w:bidi="hi-IN"/>
        </w:rPr>
      </w:pPr>
      <w:r w:rsidRPr="00B67E08">
        <w:rPr>
          <w:rFonts w:ascii="Kokila" w:hAnsi="Kokila" w:cs="Kokila"/>
          <w:b/>
          <w:bCs/>
          <w:noProof/>
          <w:sz w:val="28"/>
          <w:szCs w:val="28"/>
          <w:lang w:val="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72.75pt;margin-top:7.3pt;width:59.7pt;height:59.7pt;z-index:487590912" o:allowincell="f">
            <v:imagedata r:id="rId8" o:title=""/>
          </v:shape>
          <o:OLEObject Type="Embed" ProgID="MSPhotoEd.3" ShapeID="_x0000_s1038" DrawAspect="Content" ObjectID="_1787725957" r:id="rId9"/>
        </w:pict>
      </w:r>
    </w:p>
    <w:p w:rsidR="008D0FBB" w:rsidRPr="00F5481D" w:rsidRDefault="008D0FBB" w:rsidP="008D0FBB">
      <w:pPr>
        <w:pStyle w:val="BodyText"/>
        <w:ind w:left="3870"/>
        <w:jc w:val="center"/>
        <w:rPr>
          <w:rFonts w:ascii="Kokila" w:hAnsi="Kokila" w:cs="Kokila"/>
          <w:b/>
          <w:caps/>
          <w:sz w:val="28"/>
          <w:szCs w:val="28"/>
        </w:rPr>
      </w:pPr>
      <w:r w:rsidRPr="00F5481D">
        <w:rPr>
          <w:rFonts w:ascii="Kokila" w:hAnsi="Kokila" w:cs="Kokila"/>
          <w:caps/>
          <w:sz w:val="28"/>
          <w:szCs w:val="28"/>
          <w:cs/>
          <w:lang w:bidi="hi-IN"/>
        </w:rPr>
        <w:t>भारतीय मानक ब्यूरो</w:t>
      </w:r>
    </w:p>
    <w:p w:rsidR="008D0FBB" w:rsidRPr="00F5481D" w:rsidRDefault="008D0FBB" w:rsidP="008D0FBB">
      <w:pPr>
        <w:pStyle w:val="BodyText"/>
        <w:ind w:left="3870"/>
        <w:jc w:val="center"/>
        <w:rPr>
          <w:rFonts w:ascii="Arial" w:hAnsi="Arial" w:cs="Arial"/>
          <w:color w:val="231F20"/>
          <w:spacing w:val="22"/>
          <w:lang w:bidi="hi-IN"/>
        </w:rPr>
      </w:pPr>
      <w:r w:rsidRPr="00F5481D">
        <w:rPr>
          <w:rFonts w:ascii="Arial" w:hAnsi="Arial" w:cs="Arial"/>
          <w:color w:val="231F20"/>
          <w:spacing w:val="22"/>
        </w:rPr>
        <w:t>BUREAU OF INDIAN STANDARDS</w:t>
      </w:r>
    </w:p>
    <w:p w:rsidR="008D0FBB" w:rsidRPr="00F5481D" w:rsidRDefault="008D0FBB" w:rsidP="008D0FBB">
      <w:pPr>
        <w:pStyle w:val="BodyText"/>
        <w:ind w:left="3870"/>
        <w:jc w:val="center"/>
        <w:rPr>
          <w:rFonts w:ascii="Kokila" w:hAnsi="Kokila" w:cs="Kokila"/>
          <w:b/>
          <w:color w:val="231F20"/>
          <w:spacing w:val="22"/>
          <w:sz w:val="28"/>
          <w:szCs w:val="28"/>
        </w:rPr>
      </w:pPr>
      <w:r w:rsidRPr="00F5481D">
        <w:rPr>
          <w:rFonts w:ascii="Kokila" w:hAnsi="Kokila" w:cs="Kokila"/>
          <w:caps/>
          <w:sz w:val="28"/>
          <w:szCs w:val="28"/>
          <w:cs/>
          <w:lang w:bidi="hi-IN"/>
        </w:rPr>
        <w:t>मानक भवन</w:t>
      </w:r>
      <w:r w:rsidRPr="00F5481D">
        <w:rPr>
          <w:rFonts w:ascii="Kokila" w:hAnsi="Kokila" w:cs="Kokila"/>
          <w:caps/>
          <w:sz w:val="28"/>
          <w:szCs w:val="28"/>
        </w:rPr>
        <w:t xml:space="preserve">, 9 </w:t>
      </w:r>
      <w:r w:rsidRPr="00F5481D">
        <w:rPr>
          <w:rFonts w:ascii="Kokila" w:hAnsi="Kokila" w:cs="Kokila"/>
          <w:caps/>
          <w:sz w:val="28"/>
          <w:szCs w:val="28"/>
          <w:cs/>
          <w:lang w:bidi="hi-IN"/>
        </w:rPr>
        <w:t>बहादुर शाह ज़फर मार्ग</w:t>
      </w:r>
      <w:r w:rsidRPr="00F5481D">
        <w:rPr>
          <w:rFonts w:ascii="Kokila" w:hAnsi="Kokila" w:cs="Kokila"/>
          <w:caps/>
          <w:sz w:val="28"/>
          <w:szCs w:val="28"/>
        </w:rPr>
        <w:t xml:space="preserve">, </w:t>
      </w:r>
      <w:r w:rsidRPr="00F5481D">
        <w:rPr>
          <w:rFonts w:ascii="Kokila" w:hAnsi="Kokila" w:cs="Kokila"/>
          <w:caps/>
          <w:sz w:val="28"/>
          <w:szCs w:val="28"/>
          <w:cs/>
          <w:lang w:bidi="hi-IN"/>
        </w:rPr>
        <w:t>नई दिल्ली -</w:t>
      </w:r>
      <w:r w:rsidRPr="00F5481D">
        <w:rPr>
          <w:rFonts w:ascii="Kokila" w:hAnsi="Kokila" w:cs="Kokila"/>
          <w:caps/>
          <w:sz w:val="28"/>
          <w:szCs w:val="28"/>
          <w:rtl/>
        </w:rPr>
        <w:t xml:space="preserve"> </w:t>
      </w:r>
      <w:r w:rsidRPr="00F5481D">
        <w:rPr>
          <w:rFonts w:ascii="Kokila" w:hAnsi="Kokila" w:cs="Kokila"/>
          <w:caps/>
          <w:sz w:val="28"/>
          <w:szCs w:val="28"/>
        </w:rPr>
        <w:t>110002</w:t>
      </w:r>
    </w:p>
    <w:p w:rsidR="008D0FBB" w:rsidRPr="00F5481D" w:rsidRDefault="008D0FBB" w:rsidP="008D0FBB">
      <w:pPr>
        <w:pStyle w:val="BodyText"/>
        <w:ind w:left="3870"/>
        <w:jc w:val="center"/>
        <w:rPr>
          <w:rFonts w:ascii="Arial" w:hAnsi="Arial" w:cs="Arial"/>
          <w:color w:val="231F20"/>
        </w:rPr>
      </w:pPr>
      <w:r w:rsidRPr="00F5481D">
        <w:rPr>
          <w:rFonts w:ascii="Arial" w:hAnsi="Arial" w:cs="Arial"/>
          <w:color w:val="231F20"/>
        </w:rPr>
        <w:t>MANAK BHA</w:t>
      </w:r>
      <w:r w:rsidRPr="00F5481D">
        <w:rPr>
          <w:rFonts w:ascii="Arial" w:hAnsi="Arial" w:cs="Arial"/>
          <w:color w:val="231F20"/>
          <w:lang w:bidi="hi-IN"/>
        </w:rPr>
        <w:t>V</w:t>
      </w:r>
      <w:r w:rsidRPr="00F5481D">
        <w:rPr>
          <w:rFonts w:ascii="Arial" w:hAnsi="Arial" w:cs="Arial"/>
          <w:color w:val="231F20"/>
        </w:rPr>
        <w:t>AN, 9 BAHADUR SHAH ZAFAR MARG</w:t>
      </w:r>
    </w:p>
    <w:p w:rsidR="008D0FBB" w:rsidRPr="00F5481D" w:rsidRDefault="008D0FBB" w:rsidP="008D0FBB">
      <w:pPr>
        <w:pStyle w:val="BodyText"/>
        <w:ind w:left="3870"/>
        <w:jc w:val="center"/>
        <w:rPr>
          <w:rFonts w:ascii="Arial" w:hAnsi="Arial" w:cs="Arial"/>
          <w:color w:val="231F20"/>
        </w:rPr>
      </w:pPr>
      <w:r w:rsidRPr="00F5481D">
        <w:rPr>
          <w:rFonts w:ascii="Arial" w:hAnsi="Arial" w:cs="Arial"/>
          <w:color w:val="231F20"/>
        </w:rPr>
        <w:t>NEW DELHI - 110002</w:t>
      </w:r>
    </w:p>
    <w:p w:rsidR="008D0FBB" w:rsidRPr="00F5481D" w:rsidRDefault="00B67E08" w:rsidP="008D0FBB">
      <w:pPr>
        <w:pStyle w:val="BodyText"/>
        <w:ind w:left="3870"/>
        <w:jc w:val="center"/>
        <w:rPr>
          <w:rFonts w:ascii="Arial" w:hAnsi="Arial" w:cs="Arial"/>
          <w:sz w:val="20"/>
        </w:rPr>
      </w:pPr>
      <w:hyperlink r:id="rId10" w:history="1">
        <w:r w:rsidR="008D0FBB" w:rsidRPr="00F5481D">
          <w:rPr>
            <w:rFonts w:ascii="Arial" w:hAnsi="Arial" w:cs="Arial"/>
            <w:color w:val="0000FF"/>
            <w:u w:val="single"/>
          </w:rPr>
          <w:t>www.bis.gov.in</w:t>
        </w:r>
      </w:hyperlink>
      <w:r w:rsidR="008D0FBB" w:rsidRPr="00F5481D">
        <w:rPr>
          <w:rFonts w:ascii="Arial" w:hAnsi="Arial" w:cs="Arial"/>
          <w:sz w:val="20"/>
        </w:rPr>
        <w:t xml:space="preserve">     </w:t>
      </w:r>
      <w:hyperlink r:id="rId11" w:history="1">
        <w:r w:rsidR="008D0FBB" w:rsidRPr="00F5481D">
          <w:rPr>
            <w:rFonts w:ascii="Arial" w:hAnsi="Arial" w:cs="Arial"/>
            <w:color w:val="0000FF"/>
            <w:u w:val="single"/>
          </w:rPr>
          <w:t>www.standardsbis.in</w:t>
        </w:r>
      </w:hyperlink>
    </w:p>
    <w:p w:rsidR="008D0FBB" w:rsidRPr="00473F72" w:rsidRDefault="008D0FBB" w:rsidP="008D0FBB">
      <w:pPr>
        <w:pStyle w:val="BodyText"/>
        <w:ind w:left="3870"/>
        <w:jc w:val="center"/>
      </w:pPr>
    </w:p>
    <w:p w:rsidR="008D0FBB" w:rsidRDefault="00ED4740" w:rsidP="008D0FBB">
      <w:pPr>
        <w:pStyle w:val="BodyText"/>
        <w:ind w:left="3870"/>
        <w:jc w:val="center"/>
        <w:rPr>
          <w:rFonts w:ascii="Arial" w:hAnsi="Arial" w:cs="Arial"/>
          <w:b/>
        </w:rPr>
      </w:pPr>
      <w:r>
        <w:rPr>
          <w:rFonts w:ascii="Arial" w:hAnsi="Arial" w:cs="Arial"/>
          <w:b/>
        </w:rPr>
        <w:t>September</w:t>
      </w:r>
      <w:r w:rsidR="00F30B65">
        <w:rPr>
          <w:rFonts w:ascii="Arial" w:hAnsi="Arial" w:cs="Arial"/>
          <w:b/>
        </w:rPr>
        <w:t xml:space="preserve"> 2024</w:t>
      </w:r>
      <w:r w:rsidR="008D0FBB" w:rsidRPr="00F5481D">
        <w:rPr>
          <w:rFonts w:ascii="Arial" w:hAnsi="Arial" w:cs="Arial"/>
          <w:b/>
        </w:rPr>
        <w:t xml:space="preserve">                                          </w:t>
      </w:r>
      <w:r w:rsidR="008D0FBB">
        <w:rPr>
          <w:rFonts w:ascii="Arial" w:hAnsi="Arial" w:cs="Arial"/>
          <w:b/>
        </w:rPr>
        <w:t>Price Group</w:t>
      </w:r>
    </w:p>
    <w:p w:rsidR="00F3384B" w:rsidRPr="009433F3" w:rsidRDefault="001F7066" w:rsidP="009D0042">
      <w:pPr>
        <w:pStyle w:val="BodyText"/>
        <w:rPr>
          <w:spacing w:val="-5"/>
        </w:rPr>
      </w:pPr>
      <w:r>
        <w:br w:type="page"/>
      </w:r>
      <w:r w:rsidR="00241081" w:rsidRPr="00634B49">
        <w:lastRenderedPageBreak/>
        <w:t>Rotating Machinery</w:t>
      </w:r>
      <w:r w:rsidR="00241081">
        <w:rPr>
          <w:rFonts w:ascii="Segoe UI" w:hAnsi="Segoe UI" w:cs="Segoe UI"/>
          <w:b/>
          <w:bCs/>
          <w:color w:val="000000"/>
          <w:shd w:val="clear" w:color="auto" w:fill="FFFFFF"/>
        </w:rPr>
        <w:t xml:space="preserve"> </w:t>
      </w:r>
      <w:r w:rsidR="00241081">
        <w:t xml:space="preserve">Sectional </w:t>
      </w:r>
      <w:r w:rsidRPr="009433F3">
        <w:t>Committee,</w:t>
      </w:r>
      <w:r w:rsidRPr="009433F3">
        <w:rPr>
          <w:spacing w:val="-1"/>
        </w:rPr>
        <w:t xml:space="preserve"> </w:t>
      </w:r>
      <w:r w:rsidRPr="009433F3">
        <w:t>ETD</w:t>
      </w:r>
      <w:r w:rsidRPr="009433F3">
        <w:rPr>
          <w:spacing w:val="-2"/>
        </w:rPr>
        <w:t xml:space="preserve"> </w:t>
      </w:r>
      <w:r w:rsidR="00241081">
        <w:rPr>
          <w:spacing w:val="-5"/>
        </w:rPr>
        <w:t>15</w:t>
      </w:r>
      <w:r w:rsidR="00E1746A">
        <w:rPr>
          <w:spacing w:val="-5"/>
        </w:rPr>
        <w:t xml:space="preserve"> </w:t>
      </w:r>
    </w:p>
    <w:p w:rsidR="009D0042" w:rsidRDefault="009D0042" w:rsidP="009D0042">
      <w:pPr>
        <w:pStyle w:val="BodyText"/>
        <w:jc w:val="both"/>
      </w:pPr>
    </w:p>
    <w:p w:rsidR="001168E9" w:rsidRDefault="001168E9" w:rsidP="009D0042">
      <w:pPr>
        <w:pStyle w:val="BodyText"/>
        <w:jc w:val="both"/>
      </w:pPr>
    </w:p>
    <w:p w:rsidR="00241081" w:rsidRDefault="00241081" w:rsidP="00241081">
      <w:pPr>
        <w:pStyle w:val="BodyText"/>
        <w:jc w:val="both"/>
      </w:pPr>
      <w:r w:rsidRPr="009433F3">
        <w:t>NATIONAL FOREWORD</w:t>
      </w:r>
    </w:p>
    <w:p w:rsidR="00241081" w:rsidRDefault="00241081" w:rsidP="00241081">
      <w:pPr>
        <w:pStyle w:val="BodyText"/>
        <w:jc w:val="both"/>
      </w:pPr>
    </w:p>
    <w:p w:rsidR="00241081" w:rsidRDefault="00241081" w:rsidP="00241081">
      <w:pPr>
        <w:pStyle w:val="BodyText"/>
        <w:jc w:val="both"/>
      </w:pPr>
      <w:r>
        <w:t xml:space="preserve">This Indian Standard </w:t>
      </w:r>
      <w:r w:rsidR="00F051E4">
        <w:t xml:space="preserve">(Part 23) </w:t>
      </w:r>
      <w:r w:rsidRPr="009433F3">
        <w:t xml:space="preserve">which is </w:t>
      </w:r>
      <w:r>
        <w:t xml:space="preserve">identical with </w:t>
      </w:r>
      <w:r w:rsidRPr="00E106D6">
        <w:t>IEC 60034-23:</w:t>
      </w:r>
      <w:r>
        <w:t xml:space="preserve"> </w:t>
      </w:r>
      <w:r w:rsidRPr="00E106D6">
        <w:t>2019</w:t>
      </w:r>
      <w:r w:rsidRPr="0071594B">
        <w:t xml:space="preserve"> ‘</w:t>
      </w:r>
      <w:r w:rsidRPr="00E106D6">
        <w:t>Rotating electrical machines – Part 23: Repair, overhaul and reclamation</w:t>
      </w:r>
      <w:r w:rsidRPr="00634B49">
        <w:t>)</w:t>
      </w:r>
      <w:r w:rsidRPr="009433F3">
        <w:t xml:space="preserve">’ </w:t>
      </w:r>
      <w:r w:rsidR="00230BE8" w:rsidRPr="009433F3">
        <w:t xml:space="preserve">issued </w:t>
      </w:r>
      <w:r>
        <w:t>b</w:t>
      </w:r>
      <w:r w:rsidRPr="009433F3">
        <w:t xml:space="preserve">y </w:t>
      </w:r>
      <w:r>
        <w:t>t</w:t>
      </w:r>
      <w:r w:rsidRPr="009433F3">
        <w:t>he International Elect</w:t>
      </w:r>
      <w:r>
        <w:t xml:space="preserve">rotechnical Commission (IEC) </w:t>
      </w:r>
      <w:r w:rsidR="00A67F0D">
        <w:t>was</w:t>
      </w:r>
      <w:r>
        <w:t xml:space="preserve"> adopted</w:t>
      </w:r>
      <w:r w:rsidRPr="00C10AAF">
        <w:t xml:space="preserve"> </w:t>
      </w:r>
      <w:r>
        <w:t xml:space="preserve">by </w:t>
      </w:r>
      <w:r w:rsidRPr="00A83E2B">
        <w:rPr>
          <w:szCs w:val="32"/>
        </w:rPr>
        <w:t>the</w:t>
      </w:r>
      <w:r w:rsidRPr="009433F3">
        <w:t xml:space="preserve"> Bureau of Indian Standards on the recommendation of the </w:t>
      </w:r>
      <w:r w:rsidRPr="00634B49">
        <w:t>Rotating Machinery</w:t>
      </w:r>
      <w:r>
        <w:rPr>
          <w:rFonts w:ascii="Segoe UI" w:hAnsi="Segoe UI" w:cs="Segoe UI"/>
          <w:b/>
          <w:bCs/>
          <w:color w:val="000000"/>
          <w:shd w:val="clear" w:color="auto" w:fill="FFFFFF"/>
        </w:rPr>
        <w:t xml:space="preserve"> </w:t>
      </w:r>
      <w:r w:rsidRPr="009433F3">
        <w:t xml:space="preserve">Sectional Committee and approval of the Electrotechnical Division Council. </w:t>
      </w:r>
    </w:p>
    <w:p w:rsidR="00241081" w:rsidRDefault="00241081" w:rsidP="00241081">
      <w:pPr>
        <w:pStyle w:val="BodyText"/>
        <w:jc w:val="both"/>
      </w:pPr>
    </w:p>
    <w:p w:rsidR="004B7078" w:rsidRDefault="004B7078" w:rsidP="004B7078">
      <w:pPr>
        <w:adjustRightInd w:val="0"/>
        <w:jc w:val="both"/>
        <w:rPr>
          <w:sz w:val="24"/>
          <w:szCs w:val="24"/>
        </w:rPr>
      </w:pPr>
      <w:bookmarkStart w:id="0" w:name="This_standard_(Part_3/Sec_3)_covers_the_"/>
      <w:bookmarkStart w:id="1" w:name="The_text_of_the_IEC_Standard_has_been_ap"/>
      <w:bookmarkEnd w:id="0"/>
      <w:bookmarkEnd w:id="1"/>
      <w:r w:rsidRPr="002B0FC2">
        <w:rPr>
          <w:sz w:val="24"/>
          <w:szCs w:val="24"/>
        </w:rPr>
        <w:t>This standard is published in various parts. Other parts in this series are:</w:t>
      </w:r>
    </w:p>
    <w:p w:rsidR="004B7078" w:rsidRPr="002B0FC2" w:rsidRDefault="004B7078" w:rsidP="004B7078">
      <w:pPr>
        <w:adjustRightInd w:val="0"/>
        <w:jc w:val="both"/>
        <w:rPr>
          <w:sz w:val="24"/>
          <w:szCs w:val="24"/>
        </w:rPr>
      </w:pPr>
    </w:p>
    <w:tbl>
      <w:tblPr>
        <w:tblStyle w:val="TableGrid"/>
        <w:tblW w:w="0" w:type="auto"/>
        <w:jc w:val="center"/>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1"/>
        <w:gridCol w:w="7934"/>
      </w:tblGrid>
      <w:tr w:rsidR="004B7078" w:rsidRPr="00A521CE" w:rsidTr="00970C36">
        <w:trPr>
          <w:jc w:val="center"/>
        </w:trPr>
        <w:tc>
          <w:tcPr>
            <w:tcW w:w="1971" w:type="dxa"/>
          </w:tcPr>
          <w:p w:rsidR="004B7078" w:rsidRPr="00A521CE" w:rsidRDefault="004B7078" w:rsidP="00A521CE">
            <w:pPr>
              <w:pStyle w:val="BodyText"/>
              <w:tabs>
                <w:tab w:val="left" w:pos="3270"/>
              </w:tabs>
              <w:jc w:val="both"/>
              <w:rPr>
                <w:color w:val="000000"/>
              </w:rPr>
            </w:pPr>
            <w:r w:rsidRPr="00A521CE">
              <w:rPr>
                <w:color w:val="000000"/>
              </w:rPr>
              <w:t xml:space="preserve">Part </w:t>
            </w:r>
            <w:r w:rsidR="00A521CE" w:rsidRPr="00A521CE">
              <w:rPr>
                <w:color w:val="000000"/>
              </w:rPr>
              <w:t>5</w:t>
            </w:r>
          </w:p>
        </w:tc>
        <w:tc>
          <w:tcPr>
            <w:tcW w:w="7934" w:type="dxa"/>
          </w:tcPr>
          <w:p w:rsidR="004B7078" w:rsidRPr="004B6199" w:rsidRDefault="00A521CE" w:rsidP="00A521CE">
            <w:pPr>
              <w:pStyle w:val="BodyText"/>
              <w:tabs>
                <w:tab w:val="left" w:pos="3270"/>
              </w:tabs>
              <w:jc w:val="both"/>
              <w:rPr>
                <w:color w:val="000000"/>
              </w:rPr>
            </w:pPr>
            <w:r w:rsidRPr="00A521CE">
              <w:rPr>
                <w:color w:val="000000"/>
              </w:rPr>
              <w:t>Rotating electrical machines: Part 5 degrees of protection provided by the integral design of rotating electrical machines (IP Code) - Classification</w:t>
            </w:r>
          </w:p>
        </w:tc>
      </w:tr>
      <w:tr w:rsidR="004B7078" w:rsidRPr="00A521CE" w:rsidTr="00970C36">
        <w:trPr>
          <w:jc w:val="center"/>
        </w:trPr>
        <w:tc>
          <w:tcPr>
            <w:tcW w:w="1971" w:type="dxa"/>
          </w:tcPr>
          <w:p w:rsidR="004B7078" w:rsidRPr="00A521CE" w:rsidRDefault="004B7078" w:rsidP="00A521CE">
            <w:pPr>
              <w:pStyle w:val="BodyText"/>
              <w:tabs>
                <w:tab w:val="left" w:pos="3270"/>
              </w:tabs>
              <w:jc w:val="both"/>
              <w:rPr>
                <w:color w:val="000000"/>
              </w:rPr>
            </w:pPr>
            <w:r w:rsidRPr="00A521CE">
              <w:rPr>
                <w:color w:val="000000"/>
              </w:rPr>
              <w:t xml:space="preserve">Part </w:t>
            </w:r>
            <w:r w:rsidR="00A521CE" w:rsidRPr="00A521CE">
              <w:rPr>
                <w:color w:val="000000"/>
              </w:rPr>
              <w:t>8</w:t>
            </w:r>
          </w:p>
        </w:tc>
        <w:tc>
          <w:tcPr>
            <w:tcW w:w="7934" w:type="dxa"/>
          </w:tcPr>
          <w:p w:rsidR="004B7078" w:rsidRPr="004B6199" w:rsidRDefault="00A521CE" w:rsidP="00A521CE">
            <w:pPr>
              <w:pStyle w:val="BodyText"/>
              <w:tabs>
                <w:tab w:val="left" w:pos="3270"/>
              </w:tabs>
              <w:jc w:val="both"/>
              <w:rPr>
                <w:color w:val="000000"/>
              </w:rPr>
            </w:pPr>
            <w:r w:rsidRPr="00A521CE">
              <w:rPr>
                <w:color w:val="000000"/>
              </w:rPr>
              <w:t xml:space="preserve">Rotating Electrical Machines Part 8 Terminal Markings and Direction of Rotation </w:t>
            </w:r>
          </w:p>
        </w:tc>
      </w:tr>
      <w:tr w:rsidR="004B7078" w:rsidRPr="00A521CE" w:rsidTr="00970C36">
        <w:trPr>
          <w:jc w:val="center"/>
        </w:trPr>
        <w:tc>
          <w:tcPr>
            <w:tcW w:w="1971" w:type="dxa"/>
          </w:tcPr>
          <w:p w:rsidR="004B7078" w:rsidRPr="004B6199" w:rsidRDefault="004B7078" w:rsidP="00A521CE">
            <w:pPr>
              <w:pStyle w:val="BodyText"/>
              <w:tabs>
                <w:tab w:val="left" w:pos="3270"/>
              </w:tabs>
              <w:jc w:val="both"/>
              <w:rPr>
                <w:color w:val="000000"/>
              </w:rPr>
            </w:pPr>
            <w:r w:rsidRPr="004B6199">
              <w:rPr>
                <w:color w:val="000000"/>
              </w:rPr>
              <w:t xml:space="preserve">Part </w:t>
            </w:r>
            <w:r w:rsidR="00A521CE">
              <w:rPr>
                <w:color w:val="000000"/>
              </w:rPr>
              <w:t>27/Sec 4</w:t>
            </w:r>
          </w:p>
        </w:tc>
        <w:tc>
          <w:tcPr>
            <w:tcW w:w="7934" w:type="dxa"/>
          </w:tcPr>
          <w:p w:rsidR="004B7078" w:rsidRPr="004B6199" w:rsidRDefault="00A521CE" w:rsidP="004B7078">
            <w:pPr>
              <w:pStyle w:val="BodyText"/>
              <w:tabs>
                <w:tab w:val="left" w:pos="3270"/>
              </w:tabs>
              <w:jc w:val="both"/>
              <w:rPr>
                <w:color w:val="000000"/>
              </w:rPr>
            </w:pPr>
            <w:r w:rsidRPr="00A521CE">
              <w:rPr>
                <w:color w:val="000000"/>
              </w:rPr>
              <w:t>Rotating Electrical Machines Part 27 Winding Insulation of Rotating Electrical Machines Section 4 Measurement of insulation resistance and polarization index</w:t>
            </w:r>
          </w:p>
        </w:tc>
      </w:tr>
    </w:tbl>
    <w:p w:rsidR="004B7078" w:rsidRDefault="004B7078" w:rsidP="00241081">
      <w:pPr>
        <w:pStyle w:val="BodyText"/>
        <w:jc w:val="both"/>
      </w:pPr>
    </w:p>
    <w:p w:rsidR="00241081" w:rsidRPr="009433F3" w:rsidRDefault="00241081" w:rsidP="00241081">
      <w:pPr>
        <w:pStyle w:val="BodyText"/>
        <w:jc w:val="both"/>
      </w:pPr>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rsidR="00241081" w:rsidRPr="009433F3" w:rsidRDefault="00241081" w:rsidP="00241081">
      <w:pPr>
        <w:pStyle w:val="BodyText"/>
        <w:numPr>
          <w:ilvl w:val="0"/>
          <w:numId w:val="7"/>
        </w:numPr>
        <w:spacing w:before="269"/>
        <w:ind w:left="990"/>
        <w:jc w:val="both"/>
      </w:pPr>
      <w:r w:rsidRPr="009433F3">
        <w:t>Wherever the words ‘International Standard’ appears referring to this standard, they should be read as ‘Indian Standard’.</w:t>
      </w:r>
    </w:p>
    <w:p w:rsidR="00241081" w:rsidRPr="009433F3" w:rsidRDefault="00241081" w:rsidP="00241081">
      <w:pPr>
        <w:pStyle w:val="BodyText"/>
        <w:numPr>
          <w:ilvl w:val="0"/>
          <w:numId w:val="7"/>
        </w:numPr>
        <w:spacing w:before="269"/>
        <w:ind w:left="990"/>
        <w:jc w:val="both"/>
      </w:pPr>
      <w:r w:rsidRPr="009433F3">
        <w:t>Comma (,) has been used as a decimal marker, while in Indian Standards the current practice is to use a point (.) as the decimal marker.</w:t>
      </w:r>
    </w:p>
    <w:p w:rsidR="00241081" w:rsidRDefault="00241081" w:rsidP="00241081">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rsidR="00241081" w:rsidRPr="009433F3" w:rsidRDefault="00241081" w:rsidP="00241081">
      <w:pPr>
        <w:pStyle w:val="BodyText"/>
        <w:jc w:val="both"/>
      </w:pPr>
    </w:p>
    <w:tbl>
      <w:tblPr>
        <w:tblW w:w="10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45"/>
        <w:gridCol w:w="4590"/>
        <w:gridCol w:w="2610"/>
      </w:tblGrid>
      <w:tr w:rsidR="00241081" w:rsidRPr="009433F3" w:rsidTr="00241081">
        <w:trPr>
          <w:trHeight w:val="465"/>
        </w:trPr>
        <w:tc>
          <w:tcPr>
            <w:tcW w:w="3145" w:type="dxa"/>
            <w:shd w:val="clear" w:color="auto" w:fill="auto"/>
          </w:tcPr>
          <w:p w:rsidR="00241081" w:rsidRPr="00E1746A" w:rsidRDefault="00241081" w:rsidP="00241081">
            <w:pPr>
              <w:pStyle w:val="BodyText"/>
              <w:ind w:left="90" w:right="90"/>
              <w:jc w:val="center"/>
              <w:rPr>
                <w:i/>
                <w:iCs/>
              </w:rPr>
            </w:pPr>
            <w:r w:rsidRPr="00E1746A">
              <w:rPr>
                <w:i/>
                <w:iCs/>
              </w:rPr>
              <w:t>International Standard</w:t>
            </w:r>
          </w:p>
        </w:tc>
        <w:tc>
          <w:tcPr>
            <w:tcW w:w="4590" w:type="dxa"/>
            <w:shd w:val="clear" w:color="auto" w:fill="auto"/>
          </w:tcPr>
          <w:p w:rsidR="00241081" w:rsidRPr="00E1746A" w:rsidRDefault="00241081" w:rsidP="00241081">
            <w:pPr>
              <w:pStyle w:val="BodyText"/>
              <w:ind w:left="90" w:right="90"/>
              <w:jc w:val="center"/>
              <w:rPr>
                <w:i/>
                <w:iCs/>
              </w:rPr>
            </w:pPr>
            <w:r w:rsidRPr="00E1746A">
              <w:rPr>
                <w:i/>
                <w:iCs/>
              </w:rPr>
              <w:t>Corresponding Indian Standard</w:t>
            </w:r>
          </w:p>
        </w:tc>
        <w:tc>
          <w:tcPr>
            <w:tcW w:w="2610" w:type="dxa"/>
            <w:shd w:val="clear" w:color="auto" w:fill="auto"/>
          </w:tcPr>
          <w:p w:rsidR="00241081" w:rsidRPr="00E1746A" w:rsidRDefault="00241081" w:rsidP="00241081">
            <w:pPr>
              <w:pStyle w:val="BodyText"/>
              <w:ind w:left="90" w:right="50"/>
              <w:jc w:val="center"/>
              <w:rPr>
                <w:i/>
                <w:iCs/>
              </w:rPr>
            </w:pPr>
            <w:r w:rsidRPr="00E1746A">
              <w:rPr>
                <w:i/>
                <w:iCs/>
              </w:rPr>
              <w:t>Degree of Equivalence</w:t>
            </w:r>
          </w:p>
        </w:tc>
      </w:tr>
      <w:tr w:rsidR="0042640D" w:rsidRPr="009433F3" w:rsidTr="00821239">
        <w:trPr>
          <w:trHeight w:val="1187"/>
        </w:trPr>
        <w:tc>
          <w:tcPr>
            <w:tcW w:w="3145" w:type="dxa"/>
            <w:vMerge w:val="restart"/>
            <w:shd w:val="clear" w:color="auto" w:fill="auto"/>
            <w:vAlign w:val="center"/>
          </w:tcPr>
          <w:p w:rsidR="00821239" w:rsidRDefault="00B67E08" w:rsidP="00821239">
            <w:pPr>
              <w:pStyle w:val="BodyText"/>
              <w:ind w:left="90" w:right="90"/>
            </w:pPr>
            <w:r>
              <w:rPr>
                <w:noProof/>
                <w:lang w:bidi="hi-IN"/>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5" type="#_x0000_t87" style="position:absolute;left:0;text-align:left;margin-left:131.25pt;margin-top:.55pt;width:25.5pt;height:303.15pt;z-index:487591936;mso-position-horizontal-relative:text;mso-position-vertical-relative:text"/>
              </w:pict>
            </w:r>
          </w:p>
          <w:p w:rsidR="00821239" w:rsidRDefault="00821239" w:rsidP="00821239">
            <w:pPr>
              <w:pStyle w:val="BodyText"/>
              <w:ind w:left="90" w:right="90"/>
            </w:pPr>
          </w:p>
          <w:p w:rsidR="00821239" w:rsidRDefault="00821239" w:rsidP="00821239">
            <w:pPr>
              <w:pStyle w:val="BodyText"/>
              <w:ind w:left="90" w:right="90"/>
            </w:pPr>
          </w:p>
          <w:p w:rsidR="00821239" w:rsidRDefault="00821239" w:rsidP="00821239">
            <w:pPr>
              <w:pStyle w:val="BodyText"/>
              <w:ind w:left="90" w:right="90"/>
            </w:pPr>
          </w:p>
          <w:p w:rsidR="00821239" w:rsidRDefault="00821239" w:rsidP="00821239">
            <w:pPr>
              <w:pStyle w:val="BodyText"/>
              <w:ind w:left="90" w:right="90"/>
            </w:pPr>
          </w:p>
          <w:p w:rsidR="00821239" w:rsidRDefault="00821239" w:rsidP="00821239">
            <w:pPr>
              <w:pStyle w:val="BodyText"/>
              <w:ind w:left="90" w:right="90"/>
            </w:pPr>
          </w:p>
          <w:p w:rsidR="00821239" w:rsidRDefault="00821239" w:rsidP="00821239">
            <w:pPr>
              <w:pStyle w:val="BodyText"/>
              <w:ind w:left="90" w:right="90"/>
            </w:pPr>
          </w:p>
          <w:p w:rsidR="00821239" w:rsidRDefault="00821239" w:rsidP="00821239">
            <w:pPr>
              <w:pStyle w:val="BodyText"/>
              <w:ind w:left="90" w:right="90"/>
            </w:pPr>
          </w:p>
          <w:p w:rsidR="00821239" w:rsidRDefault="00821239" w:rsidP="00821239">
            <w:pPr>
              <w:pStyle w:val="BodyText"/>
              <w:ind w:left="90" w:right="90"/>
            </w:pPr>
          </w:p>
          <w:p w:rsidR="00821239" w:rsidRDefault="00821239" w:rsidP="00821239">
            <w:pPr>
              <w:pStyle w:val="BodyText"/>
              <w:ind w:left="90" w:right="90"/>
            </w:pPr>
          </w:p>
          <w:p w:rsidR="0042640D" w:rsidRPr="00E1746A" w:rsidRDefault="0042640D" w:rsidP="00821239">
            <w:pPr>
              <w:pStyle w:val="BodyText"/>
              <w:ind w:left="90" w:right="90"/>
              <w:rPr>
                <w:i/>
                <w:iCs/>
              </w:rPr>
            </w:pPr>
            <w:r w:rsidRPr="00B86D82">
              <w:t>IEC 60034 (all parts), Rotating electrical machines</w:t>
            </w:r>
          </w:p>
        </w:tc>
        <w:tc>
          <w:tcPr>
            <w:tcW w:w="4590" w:type="dxa"/>
            <w:shd w:val="clear" w:color="auto" w:fill="auto"/>
          </w:tcPr>
          <w:p w:rsidR="0042640D" w:rsidRPr="00E1746A" w:rsidRDefault="0042640D" w:rsidP="00B86D82">
            <w:pPr>
              <w:pStyle w:val="BodyText"/>
              <w:ind w:left="90" w:right="90"/>
              <w:jc w:val="both"/>
              <w:rPr>
                <w:i/>
                <w:iCs/>
              </w:rPr>
            </w:pPr>
            <w:r w:rsidRPr="009D293D">
              <w:t>IS 15999 (Part 1) : 2021/ IEC 60034-1: 2017 Rotating electrical machines - Part 1 : Rating and performance (Under Revision with Identical IEC)</w:t>
            </w:r>
          </w:p>
        </w:tc>
        <w:tc>
          <w:tcPr>
            <w:tcW w:w="2610" w:type="dxa"/>
            <w:shd w:val="clear" w:color="auto" w:fill="auto"/>
          </w:tcPr>
          <w:p w:rsidR="0042640D" w:rsidRPr="00E1746A" w:rsidRDefault="0042640D" w:rsidP="00241081">
            <w:pPr>
              <w:pStyle w:val="BodyText"/>
              <w:ind w:left="90" w:right="50"/>
              <w:jc w:val="center"/>
              <w:rPr>
                <w:i/>
                <w:iCs/>
              </w:rPr>
            </w:pPr>
            <w:r w:rsidRPr="009D293D">
              <w:t>Identical</w:t>
            </w:r>
          </w:p>
        </w:tc>
      </w:tr>
      <w:tr w:rsidR="0042640D" w:rsidRPr="009433F3" w:rsidTr="00A77C92">
        <w:trPr>
          <w:trHeight w:val="1187"/>
        </w:trPr>
        <w:tc>
          <w:tcPr>
            <w:tcW w:w="3145" w:type="dxa"/>
            <w:vMerge/>
            <w:shd w:val="clear" w:color="auto" w:fill="auto"/>
          </w:tcPr>
          <w:p w:rsidR="0042640D" w:rsidRPr="00B86D82" w:rsidRDefault="0042640D" w:rsidP="00B86D82">
            <w:pPr>
              <w:pStyle w:val="BodyText"/>
              <w:ind w:left="90" w:right="90"/>
              <w:jc w:val="both"/>
            </w:pPr>
          </w:p>
        </w:tc>
        <w:tc>
          <w:tcPr>
            <w:tcW w:w="4590" w:type="dxa"/>
            <w:shd w:val="clear" w:color="auto" w:fill="auto"/>
          </w:tcPr>
          <w:p w:rsidR="0042640D" w:rsidRPr="009D293D" w:rsidRDefault="0042640D" w:rsidP="001436FD">
            <w:pPr>
              <w:pStyle w:val="BodyText"/>
              <w:ind w:left="90" w:right="90"/>
              <w:jc w:val="both"/>
            </w:pPr>
            <w:r w:rsidRPr="001436FD">
              <w:t>IS 15999 (Part 2/Sec 1) : 2023</w:t>
            </w:r>
            <w:r>
              <w:t xml:space="preserve">/ IEC </w:t>
            </w:r>
            <w:r w:rsidRPr="001436FD">
              <w:t>60034-2-1</w:t>
            </w:r>
            <w:r>
              <w:t>: 2014</w:t>
            </w:r>
            <w:r w:rsidRPr="001436FD">
              <w:t xml:space="preserve"> </w:t>
            </w:r>
            <w:r w:rsidR="00633F7D" w:rsidRPr="001436FD">
              <w:t xml:space="preserve">Rotating electrical machines </w:t>
            </w:r>
            <w:r w:rsidRPr="001436FD">
              <w:t xml:space="preserve">Part 2-1: </w:t>
            </w:r>
            <w:r w:rsidR="00633F7D" w:rsidRPr="001436FD">
              <w:t>Standard methods for determining losses and efficiency from tests excluding machines for traction vehicles</w:t>
            </w:r>
          </w:p>
        </w:tc>
        <w:tc>
          <w:tcPr>
            <w:tcW w:w="2610" w:type="dxa"/>
            <w:shd w:val="clear" w:color="auto" w:fill="auto"/>
          </w:tcPr>
          <w:p w:rsidR="0042640D" w:rsidRDefault="0042640D" w:rsidP="0042640D">
            <w:pPr>
              <w:jc w:val="center"/>
            </w:pPr>
            <w:r w:rsidRPr="006F4C98">
              <w:t>Identical</w:t>
            </w:r>
          </w:p>
        </w:tc>
      </w:tr>
      <w:tr w:rsidR="0042640D" w:rsidRPr="009433F3" w:rsidTr="00A77C92">
        <w:trPr>
          <w:trHeight w:val="1187"/>
        </w:trPr>
        <w:tc>
          <w:tcPr>
            <w:tcW w:w="3145" w:type="dxa"/>
            <w:vMerge/>
            <w:shd w:val="clear" w:color="auto" w:fill="auto"/>
          </w:tcPr>
          <w:p w:rsidR="0042640D" w:rsidRPr="00B86D82" w:rsidRDefault="0042640D" w:rsidP="00B86D82">
            <w:pPr>
              <w:pStyle w:val="BodyText"/>
              <w:ind w:left="90" w:right="90"/>
              <w:jc w:val="both"/>
            </w:pPr>
          </w:p>
        </w:tc>
        <w:tc>
          <w:tcPr>
            <w:tcW w:w="4590" w:type="dxa"/>
            <w:shd w:val="clear" w:color="auto" w:fill="auto"/>
          </w:tcPr>
          <w:p w:rsidR="0042640D" w:rsidRPr="001436FD" w:rsidRDefault="0042640D" w:rsidP="001436FD">
            <w:pPr>
              <w:pStyle w:val="BodyText"/>
              <w:ind w:left="90" w:right="90"/>
              <w:jc w:val="both"/>
            </w:pPr>
            <w:r w:rsidRPr="001436FD">
              <w:t>IS 15999 (Part 3) : 2023</w:t>
            </w:r>
            <w:r>
              <w:t xml:space="preserve">/ IEC </w:t>
            </w:r>
            <w:r w:rsidRPr="001436FD">
              <w:t>60034-3: 2020</w:t>
            </w:r>
            <w:r>
              <w:t xml:space="preserve"> </w:t>
            </w:r>
            <w:r w:rsidR="00633F7D" w:rsidRPr="001436FD">
              <w:t>Rotating electrical machine</w:t>
            </w:r>
            <w:r w:rsidRPr="001436FD">
              <w:t xml:space="preserve">s Part 3: Specific requirements for synchronous generators driven by steam turbines or combustion gas </w:t>
            </w:r>
            <w:r w:rsidR="00FB3433">
              <w:rPr>
                <w:noProof/>
                <w:lang w:bidi="hi-IN"/>
              </w:rPr>
              <w:pict>
                <v:shape id="_x0000_s1046" type="#_x0000_t87" style="position:absolute;left:0;text-align:left;margin-left:-36.25pt;margin-top:2.1pt;width:25.5pt;height:626.25pt;z-index:487592960;mso-position-horizontal-relative:text;mso-position-vertical-relative:text"/>
              </w:pict>
            </w:r>
            <w:r w:rsidRPr="001436FD">
              <w:t xml:space="preserve">turbines and for synchronous compensators </w:t>
            </w:r>
            <w:r>
              <w:t>(</w:t>
            </w:r>
            <w:r w:rsidR="00633F7D" w:rsidRPr="005D1AC9">
              <w:rPr>
                <w:i/>
                <w:iCs/>
              </w:rPr>
              <w:t>first revision</w:t>
            </w:r>
            <w:r>
              <w:t>)</w:t>
            </w:r>
          </w:p>
        </w:tc>
        <w:tc>
          <w:tcPr>
            <w:tcW w:w="2610" w:type="dxa"/>
            <w:shd w:val="clear" w:color="auto" w:fill="auto"/>
          </w:tcPr>
          <w:p w:rsidR="0042640D" w:rsidRDefault="0042640D" w:rsidP="0042640D">
            <w:pPr>
              <w:jc w:val="center"/>
            </w:pPr>
            <w:r w:rsidRPr="006F4C98">
              <w:t>Identical</w:t>
            </w:r>
          </w:p>
        </w:tc>
      </w:tr>
      <w:tr w:rsidR="0042640D" w:rsidRPr="009433F3" w:rsidTr="00A77C92">
        <w:trPr>
          <w:trHeight w:val="1187"/>
        </w:trPr>
        <w:tc>
          <w:tcPr>
            <w:tcW w:w="3145" w:type="dxa"/>
            <w:vMerge/>
            <w:shd w:val="clear" w:color="auto" w:fill="auto"/>
          </w:tcPr>
          <w:p w:rsidR="0042640D" w:rsidRPr="00B86D82" w:rsidRDefault="0042640D" w:rsidP="00B86D82">
            <w:pPr>
              <w:pStyle w:val="BodyText"/>
              <w:ind w:left="90" w:right="90"/>
              <w:jc w:val="both"/>
            </w:pPr>
          </w:p>
        </w:tc>
        <w:tc>
          <w:tcPr>
            <w:tcW w:w="4590" w:type="dxa"/>
            <w:shd w:val="clear" w:color="auto" w:fill="auto"/>
          </w:tcPr>
          <w:p w:rsidR="0042640D" w:rsidRPr="001436FD" w:rsidRDefault="0042640D" w:rsidP="001436FD">
            <w:pPr>
              <w:pStyle w:val="BodyText"/>
              <w:ind w:left="90" w:right="90"/>
              <w:jc w:val="both"/>
            </w:pPr>
            <w:r w:rsidRPr="001436FD">
              <w:t>IS 15999 (Part 4/Sec 1) : 2023</w:t>
            </w:r>
            <w:r>
              <w:t xml:space="preserve">/ IEC </w:t>
            </w:r>
            <w:r w:rsidRPr="001436FD">
              <w:t>60034-4-1</w:t>
            </w:r>
            <w:r>
              <w:t xml:space="preserve"> </w:t>
            </w:r>
            <w:r w:rsidR="00633F7D" w:rsidRPr="001436FD">
              <w:t>Rotating electrical machines</w:t>
            </w:r>
            <w:r w:rsidRPr="001436FD">
              <w:t xml:space="preserve"> Part 4 Electrically excited synchronous machine quantities Section 1 Test methods </w:t>
            </w:r>
            <w:r>
              <w:t>(</w:t>
            </w:r>
            <w:r w:rsidR="00633F7D" w:rsidRPr="001436FD">
              <w:rPr>
                <w:i/>
                <w:iCs/>
              </w:rPr>
              <w:t>first revision</w:t>
            </w:r>
            <w:r w:rsidRPr="001436FD">
              <w:t>)</w:t>
            </w:r>
          </w:p>
        </w:tc>
        <w:tc>
          <w:tcPr>
            <w:tcW w:w="2610" w:type="dxa"/>
            <w:shd w:val="clear" w:color="auto" w:fill="auto"/>
          </w:tcPr>
          <w:p w:rsidR="0042640D" w:rsidRDefault="0042640D" w:rsidP="0042640D">
            <w:pPr>
              <w:jc w:val="center"/>
            </w:pPr>
            <w:r w:rsidRPr="006F4C98">
              <w:t>Identical</w:t>
            </w:r>
          </w:p>
        </w:tc>
      </w:tr>
      <w:tr w:rsidR="0042640D" w:rsidRPr="009433F3" w:rsidTr="00241081">
        <w:trPr>
          <w:trHeight w:val="465"/>
        </w:trPr>
        <w:tc>
          <w:tcPr>
            <w:tcW w:w="3145" w:type="dxa"/>
            <w:vMerge/>
            <w:shd w:val="clear" w:color="auto" w:fill="auto"/>
          </w:tcPr>
          <w:p w:rsidR="0042640D" w:rsidRPr="00B86D82" w:rsidRDefault="0042640D" w:rsidP="00B86D82">
            <w:pPr>
              <w:pStyle w:val="BodyText"/>
              <w:ind w:left="90" w:right="90"/>
              <w:jc w:val="both"/>
            </w:pPr>
          </w:p>
        </w:tc>
        <w:tc>
          <w:tcPr>
            <w:tcW w:w="4590" w:type="dxa"/>
            <w:shd w:val="clear" w:color="auto" w:fill="auto"/>
          </w:tcPr>
          <w:p w:rsidR="0042640D" w:rsidRPr="00B86D82" w:rsidRDefault="0042640D" w:rsidP="00B86D82">
            <w:pPr>
              <w:pStyle w:val="BodyText"/>
              <w:ind w:left="90" w:right="90"/>
              <w:jc w:val="both"/>
            </w:pPr>
            <w:r w:rsidRPr="002D55E6">
              <w:t>IS/IEC 60034-5 : 2000 Rotating electrical machines: Part 5 degrees of protection provided by the integral design of rotating electrical machines (IP Code) - Classification</w:t>
            </w:r>
          </w:p>
        </w:tc>
        <w:tc>
          <w:tcPr>
            <w:tcW w:w="2610" w:type="dxa"/>
            <w:shd w:val="clear" w:color="auto" w:fill="auto"/>
          </w:tcPr>
          <w:p w:rsidR="0042640D" w:rsidRDefault="0042640D" w:rsidP="00A77C92">
            <w:pPr>
              <w:jc w:val="center"/>
            </w:pPr>
            <w:r w:rsidRPr="00F21F3C">
              <w:t>Identical</w:t>
            </w:r>
          </w:p>
        </w:tc>
      </w:tr>
      <w:tr w:rsidR="0042640D" w:rsidRPr="009433F3" w:rsidTr="00241081">
        <w:trPr>
          <w:trHeight w:val="465"/>
        </w:trPr>
        <w:tc>
          <w:tcPr>
            <w:tcW w:w="3145" w:type="dxa"/>
            <w:vMerge/>
            <w:shd w:val="clear" w:color="auto" w:fill="auto"/>
          </w:tcPr>
          <w:p w:rsidR="0042640D" w:rsidRPr="006209BC" w:rsidRDefault="0042640D" w:rsidP="004B7078">
            <w:pPr>
              <w:pStyle w:val="BodyText"/>
              <w:ind w:left="90" w:right="90"/>
              <w:jc w:val="both"/>
            </w:pPr>
          </w:p>
        </w:tc>
        <w:tc>
          <w:tcPr>
            <w:tcW w:w="4590" w:type="dxa"/>
            <w:shd w:val="clear" w:color="auto" w:fill="auto"/>
          </w:tcPr>
          <w:p w:rsidR="0042640D" w:rsidRPr="006209BC" w:rsidRDefault="0042640D" w:rsidP="004B7078">
            <w:pPr>
              <w:pStyle w:val="BodyText"/>
              <w:ind w:left="90" w:right="90"/>
              <w:jc w:val="both"/>
            </w:pPr>
            <w:r w:rsidRPr="006269B4">
              <w:t xml:space="preserve">IS 6362 : 1995/ IEC 60034-6: 1991 Designation of methods of cooling of rotating electrical machines </w:t>
            </w:r>
            <w:r w:rsidRPr="00F051E4">
              <w:t>(</w:t>
            </w:r>
            <w:r w:rsidR="00633F7D" w:rsidRPr="00F051E4">
              <w:rPr>
                <w:i/>
                <w:iCs/>
              </w:rPr>
              <w:t>first revision</w:t>
            </w:r>
            <w:r w:rsidRPr="00F051E4">
              <w:t>)</w:t>
            </w:r>
          </w:p>
        </w:tc>
        <w:tc>
          <w:tcPr>
            <w:tcW w:w="2610" w:type="dxa"/>
            <w:shd w:val="clear" w:color="auto" w:fill="auto"/>
          </w:tcPr>
          <w:p w:rsidR="0042640D" w:rsidRDefault="0042640D" w:rsidP="0042640D">
            <w:pPr>
              <w:jc w:val="center"/>
            </w:pPr>
            <w:r w:rsidRPr="00D22930">
              <w:t>Identical</w:t>
            </w:r>
          </w:p>
        </w:tc>
      </w:tr>
      <w:tr w:rsidR="0042640D" w:rsidRPr="009433F3" w:rsidTr="00241081">
        <w:trPr>
          <w:trHeight w:val="465"/>
        </w:trPr>
        <w:tc>
          <w:tcPr>
            <w:tcW w:w="3145" w:type="dxa"/>
            <w:vMerge/>
            <w:shd w:val="clear" w:color="auto" w:fill="auto"/>
          </w:tcPr>
          <w:p w:rsidR="0042640D" w:rsidRPr="00B86D82" w:rsidRDefault="0042640D" w:rsidP="00B86D82">
            <w:pPr>
              <w:pStyle w:val="BodyText"/>
              <w:ind w:left="90" w:right="90"/>
              <w:jc w:val="both"/>
            </w:pPr>
          </w:p>
        </w:tc>
        <w:tc>
          <w:tcPr>
            <w:tcW w:w="4590" w:type="dxa"/>
            <w:shd w:val="clear" w:color="auto" w:fill="auto"/>
          </w:tcPr>
          <w:p w:rsidR="0042640D" w:rsidRPr="002D55E6" w:rsidRDefault="0042640D" w:rsidP="00B86D82">
            <w:pPr>
              <w:pStyle w:val="BodyText"/>
              <w:ind w:left="90" w:right="90"/>
              <w:jc w:val="both"/>
            </w:pPr>
            <w:r w:rsidRPr="00A77C92">
              <w:t xml:space="preserve">IS/IEC 60034-8 : 2014 Rotating electrical machines Part 8 Terminal Markings and Direction of Rotation ( </w:t>
            </w:r>
            <w:r w:rsidR="00633F7D" w:rsidRPr="00A77C92">
              <w:rPr>
                <w:i/>
                <w:iCs/>
              </w:rPr>
              <w:t>third revision</w:t>
            </w:r>
            <w:r w:rsidR="00633F7D" w:rsidRPr="00A77C92">
              <w:t xml:space="preserve"> </w:t>
            </w:r>
            <w:r w:rsidRPr="00A77C92">
              <w:t>)</w:t>
            </w:r>
          </w:p>
        </w:tc>
        <w:tc>
          <w:tcPr>
            <w:tcW w:w="2610" w:type="dxa"/>
            <w:shd w:val="clear" w:color="auto" w:fill="auto"/>
          </w:tcPr>
          <w:p w:rsidR="0042640D" w:rsidRDefault="0042640D" w:rsidP="00A77C92">
            <w:pPr>
              <w:jc w:val="center"/>
            </w:pPr>
            <w:r w:rsidRPr="00F21F3C">
              <w:t>Identical</w:t>
            </w:r>
          </w:p>
        </w:tc>
      </w:tr>
      <w:tr w:rsidR="0042640D" w:rsidRPr="009433F3" w:rsidTr="00241081">
        <w:trPr>
          <w:trHeight w:val="465"/>
        </w:trPr>
        <w:tc>
          <w:tcPr>
            <w:tcW w:w="3145" w:type="dxa"/>
            <w:vMerge/>
            <w:shd w:val="clear" w:color="auto" w:fill="auto"/>
          </w:tcPr>
          <w:p w:rsidR="0042640D" w:rsidRPr="00B86D82" w:rsidRDefault="0042640D" w:rsidP="00B86D82">
            <w:pPr>
              <w:pStyle w:val="BodyText"/>
              <w:ind w:left="90" w:right="90"/>
              <w:jc w:val="both"/>
            </w:pPr>
          </w:p>
        </w:tc>
        <w:tc>
          <w:tcPr>
            <w:tcW w:w="4590" w:type="dxa"/>
            <w:shd w:val="clear" w:color="auto" w:fill="auto"/>
          </w:tcPr>
          <w:p w:rsidR="0042640D" w:rsidRPr="00A77C92" w:rsidRDefault="0042640D" w:rsidP="001436FD">
            <w:pPr>
              <w:pStyle w:val="BodyText"/>
              <w:ind w:left="90" w:right="90"/>
              <w:jc w:val="both"/>
            </w:pPr>
            <w:r w:rsidRPr="001436FD">
              <w:t>IS 15999 (Part 15) : 2017</w:t>
            </w:r>
            <w:r>
              <w:t xml:space="preserve">/ </w:t>
            </w:r>
            <w:r w:rsidRPr="001436FD">
              <w:t xml:space="preserve">IEC 60034-15 : 2009 </w:t>
            </w:r>
            <w:r w:rsidR="00633F7D" w:rsidRPr="001436FD">
              <w:t xml:space="preserve">Rotating electrical machines </w:t>
            </w:r>
            <w:r w:rsidRPr="001436FD">
              <w:t xml:space="preserve">Part 15 Impulse </w:t>
            </w:r>
            <w:r w:rsidR="00633F7D" w:rsidRPr="001436FD">
              <w:t>voltage withstand levels</w:t>
            </w:r>
            <w:r w:rsidRPr="001436FD">
              <w:t xml:space="preserve"> of </w:t>
            </w:r>
            <w:r w:rsidR="00633F7D" w:rsidRPr="001436FD">
              <w:t xml:space="preserve">form-wound stator coils for rotating </w:t>
            </w:r>
            <w:r w:rsidRPr="001436FD">
              <w:t xml:space="preserve">ac </w:t>
            </w:r>
            <w:r w:rsidR="00633F7D" w:rsidRPr="001436FD">
              <w:t>machines</w:t>
            </w:r>
          </w:p>
        </w:tc>
        <w:tc>
          <w:tcPr>
            <w:tcW w:w="2610" w:type="dxa"/>
            <w:shd w:val="clear" w:color="auto" w:fill="auto"/>
          </w:tcPr>
          <w:p w:rsidR="0042640D" w:rsidRDefault="0042640D" w:rsidP="0042640D">
            <w:pPr>
              <w:jc w:val="center"/>
            </w:pPr>
            <w:r w:rsidRPr="00F34580">
              <w:t>Identical</w:t>
            </w:r>
          </w:p>
        </w:tc>
      </w:tr>
      <w:tr w:rsidR="0042640D" w:rsidRPr="009433F3" w:rsidTr="00241081">
        <w:trPr>
          <w:trHeight w:val="465"/>
        </w:trPr>
        <w:tc>
          <w:tcPr>
            <w:tcW w:w="3145" w:type="dxa"/>
            <w:vMerge/>
            <w:shd w:val="clear" w:color="auto" w:fill="auto"/>
          </w:tcPr>
          <w:p w:rsidR="0042640D" w:rsidRPr="00B86D82" w:rsidRDefault="0042640D" w:rsidP="00B86D82">
            <w:pPr>
              <w:pStyle w:val="BodyText"/>
              <w:ind w:left="90" w:right="90"/>
              <w:jc w:val="both"/>
            </w:pPr>
          </w:p>
        </w:tc>
        <w:tc>
          <w:tcPr>
            <w:tcW w:w="4590" w:type="dxa"/>
            <w:shd w:val="clear" w:color="auto" w:fill="auto"/>
          </w:tcPr>
          <w:p w:rsidR="0042640D" w:rsidRPr="001436FD" w:rsidRDefault="0042640D" w:rsidP="001436FD">
            <w:pPr>
              <w:pStyle w:val="BodyText"/>
              <w:ind w:left="90" w:right="90"/>
              <w:jc w:val="both"/>
            </w:pPr>
            <w:r w:rsidRPr="00A77C92">
              <w:t>IS 15880 : 2009/</w:t>
            </w:r>
            <w:r>
              <w:t xml:space="preserve"> </w:t>
            </w:r>
            <w:r w:rsidRPr="001436FD">
              <w:t>IEC TS 60034-17:</w:t>
            </w:r>
            <w:r>
              <w:t xml:space="preserve"> </w:t>
            </w:r>
            <w:r w:rsidRPr="001436FD">
              <w:t>2006 </w:t>
            </w:r>
            <w:r w:rsidRPr="00A77C92">
              <w:t>Three phase cage induction motors when fed from IGBT converters - Application guide</w:t>
            </w:r>
          </w:p>
        </w:tc>
        <w:tc>
          <w:tcPr>
            <w:tcW w:w="2610" w:type="dxa"/>
            <w:shd w:val="clear" w:color="auto" w:fill="auto"/>
          </w:tcPr>
          <w:p w:rsidR="0042640D" w:rsidRDefault="0042640D" w:rsidP="0042640D">
            <w:pPr>
              <w:jc w:val="center"/>
            </w:pPr>
            <w:r w:rsidRPr="00F34580">
              <w:t>Identical</w:t>
            </w:r>
          </w:p>
        </w:tc>
      </w:tr>
      <w:tr w:rsidR="0042640D" w:rsidRPr="009433F3" w:rsidTr="00241081">
        <w:trPr>
          <w:trHeight w:val="465"/>
        </w:trPr>
        <w:tc>
          <w:tcPr>
            <w:tcW w:w="3145" w:type="dxa"/>
            <w:vMerge/>
            <w:shd w:val="clear" w:color="auto" w:fill="auto"/>
          </w:tcPr>
          <w:p w:rsidR="0042640D" w:rsidRPr="00B86D82" w:rsidRDefault="0042640D" w:rsidP="00B86D82">
            <w:pPr>
              <w:pStyle w:val="BodyText"/>
              <w:ind w:left="90" w:right="90"/>
              <w:jc w:val="both"/>
            </w:pPr>
          </w:p>
        </w:tc>
        <w:tc>
          <w:tcPr>
            <w:tcW w:w="4590" w:type="dxa"/>
            <w:shd w:val="clear" w:color="auto" w:fill="auto"/>
          </w:tcPr>
          <w:p w:rsidR="0042640D" w:rsidRPr="001436FD" w:rsidRDefault="0042640D" w:rsidP="001436FD">
            <w:pPr>
              <w:pStyle w:val="BodyText"/>
              <w:ind w:left="90" w:right="90"/>
              <w:jc w:val="both"/>
            </w:pPr>
            <w:r w:rsidRPr="001436FD">
              <w:t>IS 15999 (Part 18/Sec 41) : 2018</w:t>
            </w:r>
            <w:r>
              <w:t xml:space="preserve">/ </w:t>
            </w:r>
            <w:r w:rsidRPr="001436FD">
              <w:t>IEC 60034-18-41</w:t>
            </w:r>
            <w:r>
              <w:t xml:space="preserve">: 2014 </w:t>
            </w:r>
            <w:r w:rsidRPr="001436FD">
              <w:t>Rotating electrical machines: Part 18 partial discharge free electrical insulation systems (Type I) used in rotating electrical machines fed from voltage converters Sec 41 qualification and quality control tests</w:t>
            </w:r>
          </w:p>
        </w:tc>
        <w:tc>
          <w:tcPr>
            <w:tcW w:w="2610" w:type="dxa"/>
            <w:shd w:val="clear" w:color="auto" w:fill="auto"/>
          </w:tcPr>
          <w:p w:rsidR="0042640D" w:rsidRDefault="0042640D" w:rsidP="0042640D">
            <w:pPr>
              <w:jc w:val="center"/>
            </w:pPr>
            <w:r w:rsidRPr="00F34580">
              <w:t>Identical</w:t>
            </w:r>
          </w:p>
        </w:tc>
      </w:tr>
      <w:tr w:rsidR="0042640D" w:rsidRPr="009433F3" w:rsidTr="00241081">
        <w:trPr>
          <w:trHeight w:val="465"/>
        </w:trPr>
        <w:tc>
          <w:tcPr>
            <w:tcW w:w="3145" w:type="dxa"/>
            <w:vMerge/>
            <w:shd w:val="clear" w:color="auto" w:fill="auto"/>
          </w:tcPr>
          <w:p w:rsidR="0042640D" w:rsidRPr="00B86D82" w:rsidRDefault="0042640D" w:rsidP="00B86D82">
            <w:pPr>
              <w:pStyle w:val="BodyText"/>
              <w:ind w:left="90" w:right="90"/>
              <w:jc w:val="both"/>
            </w:pPr>
          </w:p>
        </w:tc>
        <w:tc>
          <w:tcPr>
            <w:tcW w:w="4590" w:type="dxa"/>
            <w:shd w:val="clear" w:color="auto" w:fill="auto"/>
          </w:tcPr>
          <w:p w:rsidR="0042640D" w:rsidRPr="001436FD" w:rsidRDefault="0042640D" w:rsidP="001436FD">
            <w:pPr>
              <w:pStyle w:val="BodyText"/>
              <w:ind w:left="90" w:right="90"/>
              <w:jc w:val="both"/>
            </w:pPr>
            <w:r w:rsidRPr="001436FD">
              <w:t>IS 15999 (Part 18/Sec 42) : 2018</w:t>
            </w:r>
            <w:r>
              <w:t xml:space="preserve">/ </w:t>
            </w:r>
            <w:r w:rsidRPr="001436FD">
              <w:t>IEC 60034-18-4</w:t>
            </w:r>
            <w:r>
              <w:t>2</w:t>
            </w:r>
            <w:r w:rsidRPr="001436FD">
              <w:t xml:space="preserve"> : 20</w:t>
            </w:r>
            <w:r>
              <w:t xml:space="preserve">08 </w:t>
            </w:r>
            <w:r w:rsidRPr="001436FD">
              <w:t>Rotating electrical machines</w:t>
            </w:r>
            <w:r>
              <w:t xml:space="preserve"> </w:t>
            </w:r>
            <w:r w:rsidRPr="001436FD">
              <w:t xml:space="preserve">Part 18 Qualification and </w:t>
            </w:r>
            <w:r w:rsidR="00633F7D" w:rsidRPr="001436FD">
              <w:t>acceptance tests for partial discharge</w:t>
            </w:r>
          </w:p>
          <w:p w:rsidR="0042640D" w:rsidRPr="001436FD" w:rsidRDefault="00633F7D" w:rsidP="001436FD">
            <w:pPr>
              <w:pStyle w:val="BodyText"/>
              <w:ind w:left="90" w:right="90"/>
              <w:jc w:val="both"/>
            </w:pPr>
            <w:r w:rsidRPr="001436FD">
              <w:t xml:space="preserve">resistant electrical insulation systems </w:t>
            </w:r>
            <w:r w:rsidR="0042640D" w:rsidRPr="001436FD">
              <w:t>(Type II)</w:t>
            </w:r>
            <w:r w:rsidR="0042640D">
              <w:t xml:space="preserve"> </w:t>
            </w:r>
            <w:r w:rsidR="0042640D" w:rsidRPr="001436FD">
              <w:t>Section 42 Used in rotating electrical machines fed from voltage</w:t>
            </w:r>
            <w:r w:rsidR="0042640D">
              <w:t xml:space="preserve"> </w:t>
            </w:r>
            <w:r w:rsidR="0042640D" w:rsidRPr="001436FD">
              <w:t>converters</w:t>
            </w:r>
          </w:p>
        </w:tc>
        <w:tc>
          <w:tcPr>
            <w:tcW w:w="2610" w:type="dxa"/>
            <w:shd w:val="clear" w:color="auto" w:fill="auto"/>
          </w:tcPr>
          <w:p w:rsidR="0042640D" w:rsidRDefault="0042640D" w:rsidP="0042640D">
            <w:pPr>
              <w:jc w:val="center"/>
            </w:pPr>
            <w:r w:rsidRPr="00F34580">
              <w:t>Identical</w:t>
            </w:r>
          </w:p>
        </w:tc>
      </w:tr>
      <w:tr w:rsidR="0042640D" w:rsidRPr="009433F3" w:rsidTr="00241081">
        <w:trPr>
          <w:trHeight w:val="465"/>
        </w:trPr>
        <w:tc>
          <w:tcPr>
            <w:tcW w:w="3145" w:type="dxa"/>
            <w:vMerge/>
            <w:shd w:val="clear" w:color="auto" w:fill="auto"/>
          </w:tcPr>
          <w:p w:rsidR="0042640D" w:rsidRPr="00B86D82" w:rsidRDefault="0042640D" w:rsidP="00B86D82">
            <w:pPr>
              <w:pStyle w:val="BodyText"/>
              <w:ind w:left="90" w:right="90"/>
              <w:jc w:val="both"/>
            </w:pPr>
          </w:p>
        </w:tc>
        <w:tc>
          <w:tcPr>
            <w:tcW w:w="4590" w:type="dxa"/>
            <w:shd w:val="clear" w:color="auto" w:fill="auto"/>
          </w:tcPr>
          <w:p w:rsidR="0042640D" w:rsidRPr="00A77C92" w:rsidRDefault="0042640D" w:rsidP="00A77C92">
            <w:pPr>
              <w:pStyle w:val="BodyText"/>
              <w:ind w:left="90" w:right="90"/>
              <w:jc w:val="both"/>
            </w:pPr>
            <w:r w:rsidRPr="00A77C92">
              <w:t xml:space="preserve">IS/IEC 60034-27-4 : 2018 </w:t>
            </w:r>
            <w:r w:rsidR="00633F7D" w:rsidRPr="00A77C92">
              <w:t>Rotating electrical machines</w:t>
            </w:r>
            <w:r w:rsidRPr="00A77C92">
              <w:t xml:space="preserve"> Part 27 Winding </w:t>
            </w:r>
            <w:r w:rsidR="00633F7D" w:rsidRPr="00A77C92">
              <w:t>insulation of rotating electrical machines</w:t>
            </w:r>
            <w:r w:rsidRPr="00A77C92">
              <w:t xml:space="preserve"> Section 4 Measurement of insulation resistance and polarization index</w:t>
            </w:r>
          </w:p>
        </w:tc>
        <w:tc>
          <w:tcPr>
            <w:tcW w:w="2610" w:type="dxa"/>
            <w:shd w:val="clear" w:color="auto" w:fill="auto"/>
          </w:tcPr>
          <w:p w:rsidR="0042640D" w:rsidRDefault="0042640D" w:rsidP="00A77C92">
            <w:pPr>
              <w:jc w:val="center"/>
            </w:pPr>
            <w:r w:rsidRPr="00F21F3C">
              <w:t>Identical</w:t>
            </w:r>
          </w:p>
        </w:tc>
      </w:tr>
      <w:tr w:rsidR="0042640D" w:rsidRPr="009433F3" w:rsidTr="00821239">
        <w:trPr>
          <w:trHeight w:val="465"/>
        </w:trPr>
        <w:tc>
          <w:tcPr>
            <w:tcW w:w="3145" w:type="dxa"/>
            <w:vMerge/>
            <w:tcBorders>
              <w:bottom w:val="nil"/>
            </w:tcBorders>
            <w:shd w:val="clear" w:color="auto" w:fill="auto"/>
          </w:tcPr>
          <w:p w:rsidR="0042640D" w:rsidRPr="00B86D82" w:rsidRDefault="0042640D" w:rsidP="00B86D82">
            <w:pPr>
              <w:pStyle w:val="BodyText"/>
              <w:ind w:left="90" w:right="90"/>
              <w:jc w:val="both"/>
            </w:pPr>
          </w:p>
        </w:tc>
        <w:tc>
          <w:tcPr>
            <w:tcW w:w="4590" w:type="dxa"/>
            <w:shd w:val="clear" w:color="auto" w:fill="auto"/>
          </w:tcPr>
          <w:p w:rsidR="0042640D" w:rsidRPr="00A77C92" w:rsidRDefault="0042640D" w:rsidP="00A77C92">
            <w:pPr>
              <w:pStyle w:val="BodyText"/>
              <w:ind w:left="90" w:right="90"/>
              <w:jc w:val="both"/>
            </w:pPr>
            <w:r w:rsidRPr="00925DE0">
              <w:t>IS 12615 : 2018</w:t>
            </w:r>
            <w:r>
              <w:t xml:space="preserve"> </w:t>
            </w:r>
            <w:r w:rsidRPr="00925DE0">
              <w:t>Line operated three phase AC motors (IE Code) "Efficiency classes and performance specification" (</w:t>
            </w:r>
            <w:r w:rsidR="00015CC2" w:rsidRPr="005D1AC9">
              <w:rPr>
                <w:i/>
                <w:iCs/>
              </w:rPr>
              <w:t>third revision</w:t>
            </w:r>
            <w:r w:rsidRPr="00925DE0">
              <w:t>)</w:t>
            </w:r>
          </w:p>
        </w:tc>
        <w:tc>
          <w:tcPr>
            <w:tcW w:w="2610" w:type="dxa"/>
            <w:shd w:val="clear" w:color="auto" w:fill="auto"/>
          </w:tcPr>
          <w:p w:rsidR="0042640D" w:rsidRDefault="0042640D" w:rsidP="00A77C92">
            <w:pPr>
              <w:jc w:val="center"/>
            </w:pPr>
            <w:r w:rsidRPr="00925DE0">
              <w:t>Technically Equivalent</w:t>
            </w:r>
          </w:p>
        </w:tc>
      </w:tr>
      <w:tr w:rsidR="00821239" w:rsidRPr="009433F3" w:rsidTr="00821239">
        <w:trPr>
          <w:trHeight w:val="465"/>
        </w:trPr>
        <w:tc>
          <w:tcPr>
            <w:tcW w:w="3145" w:type="dxa"/>
            <w:tcBorders>
              <w:top w:val="nil"/>
            </w:tcBorders>
            <w:shd w:val="clear" w:color="auto" w:fill="auto"/>
          </w:tcPr>
          <w:p w:rsidR="00821239" w:rsidRPr="00B86D82" w:rsidRDefault="00821239" w:rsidP="00B86D82">
            <w:pPr>
              <w:pStyle w:val="BodyText"/>
              <w:ind w:left="90" w:right="90"/>
              <w:jc w:val="both"/>
            </w:pPr>
          </w:p>
        </w:tc>
        <w:tc>
          <w:tcPr>
            <w:tcW w:w="4590" w:type="dxa"/>
            <w:shd w:val="clear" w:color="auto" w:fill="auto"/>
          </w:tcPr>
          <w:p w:rsidR="00821239" w:rsidRPr="006269B4" w:rsidRDefault="00821239" w:rsidP="004B7078">
            <w:pPr>
              <w:pStyle w:val="BodyText"/>
              <w:ind w:left="90" w:right="90"/>
              <w:jc w:val="both"/>
            </w:pPr>
            <w:r w:rsidRPr="006365E7">
              <w:t>IS 14122 : 1994 Built - In thermal protection for electric motors rated up to 660 V AC - Specification</w:t>
            </w:r>
          </w:p>
        </w:tc>
        <w:tc>
          <w:tcPr>
            <w:tcW w:w="2610" w:type="dxa"/>
            <w:shd w:val="clear" w:color="auto" w:fill="auto"/>
          </w:tcPr>
          <w:p w:rsidR="00821239" w:rsidRDefault="00821239" w:rsidP="004B7078">
            <w:pPr>
              <w:pStyle w:val="BodyText"/>
              <w:ind w:left="90" w:right="90"/>
              <w:jc w:val="center"/>
            </w:pPr>
            <w:r w:rsidRPr="006365E7">
              <w:t>Technically Equivalent</w:t>
            </w:r>
          </w:p>
        </w:tc>
      </w:tr>
      <w:tr w:rsidR="00821239" w:rsidRPr="009433F3" w:rsidTr="00241081">
        <w:trPr>
          <w:trHeight w:val="465"/>
        </w:trPr>
        <w:tc>
          <w:tcPr>
            <w:tcW w:w="3145" w:type="dxa"/>
            <w:shd w:val="clear" w:color="auto" w:fill="auto"/>
          </w:tcPr>
          <w:p w:rsidR="00821239" w:rsidRPr="00925DE0" w:rsidRDefault="00821239" w:rsidP="00241081">
            <w:pPr>
              <w:pStyle w:val="BodyText"/>
              <w:ind w:left="90" w:right="90"/>
              <w:jc w:val="both"/>
            </w:pPr>
            <w:r w:rsidRPr="00096184">
              <w:t>IEC 60050-411:1996,</w:t>
            </w:r>
            <w:r>
              <w:t xml:space="preserve"> </w:t>
            </w:r>
            <w:r w:rsidRPr="00096184">
              <w:t xml:space="preserve"> International Electrotechnical Vocabulary – Chapter 411: Rotating</w:t>
            </w:r>
            <w:r>
              <w:t xml:space="preserve"> </w:t>
            </w:r>
            <w:r w:rsidRPr="00096184">
              <w:t>machines</w:t>
            </w:r>
          </w:p>
        </w:tc>
        <w:tc>
          <w:tcPr>
            <w:tcW w:w="4590" w:type="dxa"/>
            <w:shd w:val="clear" w:color="auto" w:fill="auto"/>
          </w:tcPr>
          <w:p w:rsidR="00821239" w:rsidRPr="00925DE0" w:rsidRDefault="00821239" w:rsidP="00A67F0D">
            <w:pPr>
              <w:pStyle w:val="BodyText"/>
              <w:ind w:left="90" w:right="90"/>
              <w:jc w:val="both"/>
            </w:pPr>
            <w:r w:rsidRPr="00A67F0D">
              <w:t xml:space="preserve">IS 1885 (Part 35) : 2021 </w:t>
            </w:r>
            <w:r w:rsidRPr="00096184">
              <w:t>/IEC 60050: 411</w:t>
            </w:r>
            <w:r>
              <w:t xml:space="preserve">: 1996 </w:t>
            </w:r>
            <w:r w:rsidRPr="00096184">
              <w:t xml:space="preserve">Electrotechnical </w:t>
            </w:r>
            <w:r w:rsidR="00633F7D" w:rsidRPr="00096184">
              <w:t>vocabulary</w:t>
            </w:r>
            <w:r w:rsidRPr="00096184">
              <w:t xml:space="preserve">: Part 35 Rotating </w:t>
            </w:r>
            <w:r w:rsidR="00633F7D" w:rsidRPr="00096184">
              <w:t xml:space="preserve">machinery </w:t>
            </w:r>
            <w:r w:rsidRPr="00096184">
              <w:t xml:space="preserve">( </w:t>
            </w:r>
            <w:r w:rsidR="00633F7D" w:rsidRPr="0042640D">
              <w:rPr>
                <w:i/>
                <w:iCs/>
              </w:rPr>
              <w:t>second revision</w:t>
            </w:r>
            <w:r w:rsidR="00633F7D" w:rsidRPr="00096184">
              <w:t xml:space="preserve"> </w:t>
            </w:r>
            <w:r w:rsidRPr="00096184">
              <w:t>)</w:t>
            </w:r>
          </w:p>
        </w:tc>
        <w:tc>
          <w:tcPr>
            <w:tcW w:w="2610" w:type="dxa"/>
            <w:shd w:val="clear" w:color="auto" w:fill="auto"/>
          </w:tcPr>
          <w:p w:rsidR="00821239" w:rsidRPr="00925DE0" w:rsidRDefault="00821239" w:rsidP="00241081">
            <w:pPr>
              <w:pStyle w:val="BodyText"/>
              <w:ind w:left="90" w:right="90"/>
              <w:jc w:val="center"/>
            </w:pPr>
            <w:r>
              <w:t>Identical</w:t>
            </w:r>
          </w:p>
        </w:tc>
      </w:tr>
      <w:tr w:rsidR="00821239" w:rsidRPr="009433F3" w:rsidTr="00241081">
        <w:trPr>
          <w:trHeight w:val="465"/>
        </w:trPr>
        <w:tc>
          <w:tcPr>
            <w:tcW w:w="3145" w:type="dxa"/>
            <w:shd w:val="clear" w:color="auto" w:fill="auto"/>
          </w:tcPr>
          <w:p w:rsidR="00821239" w:rsidRPr="00096184" w:rsidRDefault="00821239" w:rsidP="00241081">
            <w:pPr>
              <w:pStyle w:val="BodyText"/>
              <w:ind w:left="90" w:right="90"/>
              <w:jc w:val="both"/>
            </w:pPr>
            <w:r w:rsidRPr="00096184">
              <w:t>IEC 60060-1, High-voltage test techniques – Part 1: General definitions and test requirements</w:t>
            </w:r>
          </w:p>
        </w:tc>
        <w:tc>
          <w:tcPr>
            <w:tcW w:w="4590" w:type="dxa"/>
            <w:shd w:val="clear" w:color="auto" w:fill="auto"/>
          </w:tcPr>
          <w:p w:rsidR="00821239" w:rsidRPr="00096184" w:rsidRDefault="00821239" w:rsidP="00241081">
            <w:pPr>
              <w:pStyle w:val="BodyText"/>
              <w:ind w:left="90" w:right="90"/>
              <w:jc w:val="both"/>
            </w:pPr>
            <w:r w:rsidRPr="00096184">
              <w:t xml:space="preserve">IS 2071 (Part 1) : 2016/ IEC 60060-1 : 2010 High - Voltage test techniques: Part 1 </w:t>
            </w:r>
            <w:r w:rsidR="00633F7D" w:rsidRPr="00096184">
              <w:t xml:space="preserve">General </w:t>
            </w:r>
            <w:r w:rsidRPr="00096184">
              <w:t xml:space="preserve">definitions and test requirements </w:t>
            </w:r>
            <w:r w:rsidR="00633F7D" w:rsidRPr="00096184">
              <w:rPr>
                <w:i/>
                <w:iCs/>
              </w:rPr>
              <w:t>(third revision</w:t>
            </w:r>
            <w:r w:rsidRPr="00096184">
              <w:rPr>
                <w:i/>
                <w:iCs/>
              </w:rPr>
              <w:t>)</w:t>
            </w:r>
          </w:p>
        </w:tc>
        <w:tc>
          <w:tcPr>
            <w:tcW w:w="2610" w:type="dxa"/>
            <w:shd w:val="clear" w:color="auto" w:fill="auto"/>
          </w:tcPr>
          <w:p w:rsidR="00821239" w:rsidRDefault="00821239" w:rsidP="00241081">
            <w:pPr>
              <w:pStyle w:val="BodyText"/>
              <w:ind w:left="90" w:right="90"/>
              <w:jc w:val="center"/>
            </w:pPr>
            <w:r>
              <w:t>Identical</w:t>
            </w:r>
          </w:p>
        </w:tc>
      </w:tr>
      <w:tr w:rsidR="00821239" w:rsidRPr="009433F3" w:rsidTr="00241081">
        <w:trPr>
          <w:trHeight w:val="465"/>
        </w:trPr>
        <w:tc>
          <w:tcPr>
            <w:tcW w:w="3145" w:type="dxa"/>
            <w:shd w:val="clear" w:color="auto" w:fill="auto"/>
          </w:tcPr>
          <w:p w:rsidR="00821239" w:rsidRPr="00096184" w:rsidRDefault="00821239" w:rsidP="00241081">
            <w:pPr>
              <w:pStyle w:val="BodyText"/>
              <w:ind w:left="90" w:right="90"/>
              <w:jc w:val="both"/>
            </w:pPr>
            <w:r w:rsidRPr="00096184">
              <w:t>IEC 60072-2, Dimensions and output series for rotating electrical machines – Part 2: Frame</w:t>
            </w:r>
            <w:r>
              <w:t xml:space="preserve"> </w:t>
            </w:r>
            <w:r w:rsidRPr="00096184">
              <w:t>numbers 355 to 1000 and flange numbers 1180 to 2360</w:t>
            </w:r>
          </w:p>
        </w:tc>
        <w:tc>
          <w:tcPr>
            <w:tcW w:w="4590" w:type="dxa"/>
            <w:shd w:val="clear" w:color="auto" w:fill="auto"/>
          </w:tcPr>
          <w:p w:rsidR="00821239" w:rsidRPr="00096184" w:rsidRDefault="00821239" w:rsidP="00241081">
            <w:pPr>
              <w:pStyle w:val="BodyText"/>
              <w:ind w:left="90" w:right="90"/>
              <w:jc w:val="both"/>
            </w:pPr>
            <w:r w:rsidRPr="00096184">
              <w:t>IS 8223 : 1999/ IEC 60072 -2: 1990 Dimensions and output series for rotating electrical machines (</w:t>
            </w:r>
            <w:r w:rsidR="00633F7D" w:rsidRPr="0093605B">
              <w:rPr>
                <w:i/>
                <w:iCs/>
              </w:rPr>
              <w:t>first revision</w:t>
            </w:r>
            <w:r w:rsidRPr="00096184">
              <w:t>)</w:t>
            </w:r>
          </w:p>
        </w:tc>
        <w:tc>
          <w:tcPr>
            <w:tcW w:w="2610" w:type="dxa"/>
            <w:shd w:val="clear" w:color="auto" w:fill="auto"/>
          </w:tcPr>
          <w:p w:rsidR="00821239" w:rsidRDefault="00821239" w:rsidP="00241081">
            <w:pPr>
              <w:pStyle w:val="BodyText"/>
              <w:ind w:left="90" w:right="90"/>
              <w:jc w:val="center"/>
            </w:pPr>
            <w:r>
              <w:t>Identical</w:t>
            </w:r>
          </w:p>
        </w:tc>
      </w:tr>
      <w:tr w:rsidR="00821239" w:rsidRPr="009433F3" w:rsidTr="00241081">
        <w:trPr>
          <w:trHeight w:val="465"/>
        </w:trPr>
        <w:tc>
          <w:tcPr>
            <w:tcW w:w="3145" w:type="dxa"/>
            <w:shd w:val="clear" w:color="auto" w:fill="auto"/>
          </w:tcPr>
          <w:p w:rsidR="00821239" w:rsidRPr="00096184" w:rsidRDefault="00821239" w:rsidP="00241081">
            <w:pPr>
              <w:pStyle w:val="BodyText"/>
              <w:ind w:left="90" w:right="90"/>
              <w:jc w:val="both"/>
            </w:pPr>
            <w:r w:rsidRPr="00096184">
              <w:t>IEC 60079-19, Explosive atmospheres – Part 19: Equipment repair, overhaul, and reclamation</w:t>
            </w:r>
          </w:p>
        </w:tc>
        <w:tc>
          <w:tcPr>
            <w:tcW w:w="4590" w:type="dxa"/>
            <w:shd w:val="clear" w:color="auto" w:fill="auto"/>
          </w:tcPr>
          <w:p w:rsidR="00821239" w:rsidRPr="00096184" w:rsidRDefault="00821239" w:rsidP="00241081">
            <w:pPr>
              <w:pStyle w:val="BodyText"/>
              <w:ind w:left="90" w:right="90"/>
              <w:jc w:val="both"/>
            </w:pPr>
            <w:r w:rsidRPr="00096184">
              <w:t>IS/IEC 60079-19 : 2019 Explosive atmospheres - Part 19: Equipment repair overhaul and reclamation (</w:t>
            </w:r>
            <w:r w:rsidR="00633F7D" w:rsidRPr="00096184">
              <w:rPr>
                <w:i/>
                <w:iCs/>
              </w:rPr>
              <w:t>second revision</w:t>
            </w:r>
            <w:r w:rsidRPr="00096184">
              <w:t>)</w:t>
            </w:r>
          </w:p>
        </w:tc>
        <w:tc>
          <w:tcPr>
            <w:tcW w:w="2610" w:type="dxa"/>
            <w:shd w:val="clear" w:color="auto" w:fill="auto"/>
          </w:tcPr>
          <w:p w:rsidR="00821239" w:rsidRDefault="00821239" w:rsidP="00241081">
            <w:pPr>
              <w:pStyle w:val="BodyText"/>
              <w:ind w:left="90" w:right="90"/>
              <w:jc w:val="center"/>
            </w:pPr>
            <w:r>
              <w:t>Identical</w:t>
            </w:r>
          </w:p>
        </w:tc>
      </w:tr>
      <w:tr w:rsidR="00821239" w:rsidRPr="009433F3" w:rsidTr="00241081">
        <w:trPr>
          <w:trHeight w:val="465"/>
        </w:trPr>
        <w:tc>
          <w:tcPr>
            <w:tcW w:w="3145" w:type="dxa"/>
            <w:shd w:val="clear" w:color="auto" w:fill="auto"/>
          </w:tcPr>
          <w:p w:rsidR="00821239" w:rsidRPr="00096184" w:rsidRDefault="00821239" w:rsidP="00241081">
            <w:pPr>
              <w:pStyle w:val="BodyText"/>
              <w:ind w:left="90" w:right="90"/>
              <w:jc w:val="both"/>
            </w:pPr>
            <w:r w:rsidRPr="00096184">
              <w:t>IEC 60136:1986, Dimensions of brushes and brush-holders for electrical machinery</w:t>
            </w:r>
          </w:p>
        </w:tc>
        <w:tc>
          <w:tcPr>
            <w:tcW w:w="4590" w:type="dxa"/>
            <w:shd w:val="clear" w:color="auto" w:fill="auto"/>
          </w:tcPr>
          <w:p w:rsidR="00821239" w:rsidRPr="00096184" w:rsidRDefault="00821239" w:rsidP="00A67F0D">
            <w:pPr>
              <w:pStyle w:val="BodyText"/>
              <w:ind w:left="90" w:right="90"/>
              <w:jc w:val="both"/>
            </w:pPr>
            <w:r w:rsidRPr="00096184">
              <w:t>IS 13466 : 1992</w:t>
            </w:r>
            <w:r>
              <w:t xml:space="preserve"> </w:t>
            </w:r>
            <w:r w:rsidRPr="00096184">
              <w:t>Brushes for electrical machines - Specification</w:t>
            </w:r>
          </w:p>
        </w:tc>
        <w:tc>
          <w:tcPr>
            <w:tcW w:w="2610" w:type="dxa"/>
            <w:shd w:val="clear" w:color="auto" w:fill="auto"/>
          </w:tcPr>
          <w:p w:rsidR="00821239" w:rsidRDefault="00821239" w:rsidP="00241081">
            <w:pPr>
              <w:pStyle w:val="BodyText"/>
              <w:ind w:left="90" w:right="90"/>
              <w:jc w:val="center"/>
            </w:pPr>
            <w:r w:rsidRPr="00925DE0">
              <w:t>Technically Equivalent</w:t>
            </w:r>
          </w:p>
        </w:tc>
      </w:tr>
      <w:tr w:rsidR="00821239" w:rsidRPr="009433F3" w:rsidTr="00241081">
        <w:trPr>
          <w:trHeight w:val="465"/>
        </w:trPr>
        <w:tc>
          <w:tcPr>
            <w:tcW w:w="3145" w:type="dxa"/>
            <w:shd w:val="clear" w:color="auto" w:fill="auto"/>
          </w:tcPr>
          <w:p w:rsidR="00821239" w:rsidRPr="00096184" w:rsidRDefault="00821239" w:rsidP="00241081">
            <w:pPr>
              <w:pStyle w:val="BodyText"/>
              <w:ind w:left="90" w:right="90"/>
              <w:jc w:val="both"/>
            </w:pPr>
            <w:r w:rsidRPr="00764560">
              <w:t>ISO 21940-11, Mechanical vibration – Rotor balancing – Part 11:Procedures and tolerances for</w:t>
            </w:r>
            <w:r>
              <w:t xml:space="preserve"> </w:t>
            </w:r>
            <w:r w:rsidRPr="00764560">
              <w:t xml:space="preserve">rotors with rigid </w:t>
            </w:r>
            <w:proofErr w:type="spellStart"/>
            <w:r w:rsidRPr="00764560">
              <w:t>behaviour</w:t>
            </w:r>
            <w:proofErr w:type="spellEnd"/>
          </w:p>
        </w:tc>
        <w:tc>
          <w:tcPr>
            <w:tcW w:w="4590" w:type="dxa"/>
            <w:shd w:val="clear" w:color="auto" w:fill="auto"/>
          </w:tcPr>
          <w:p w:rsidR="00821239" w:rsidRPr="00096184" w:rsidRDefault="00821239" w:rsidP="00241081">
            <w:pPr>
              <w:pStyle w:val="BodyText"/>
              <w:ind w:left="90" w:right="90"/>
              <w:jc w:val="both"/>
            </w:pPr>
            <w:r w:rsidRPr="00764560">
              <w:t xml:space="preserve">IS/ISO 21940-11 : 2016 Mechanical vibration - </w:t>
            </w:r>
            <w:r w:rsidR="00633F7D" w:rsidRPr="00764560">
              <w:t xml:space="preserve">rotor </w:t>
            </w:r>
            <w:r w:rsidR="00633F7D">
              <w:t>balancing</w:t>
            </w:r>
            <w:r w:rsidRPr="00764560">
              <w:t xml:space="preserve"> Part 11 </w:t>
            </w:r>
            <w:r w:rsidR="00A521CE" w:rsidRPr="00764560">
              <w:t xml:space="preserve">Procedures </w:t>
            </w:r>
            <w:r w:rsidRPr="00764560">
              <w:t xml:space="preserve">and tolerances for rotors with rigid </w:t>
            </w:r>
            <w:proofErr w:type="spellStart"/>
            <w:r w:rsidRPr="00764560">
              <w:t>behaviour</w:t>
            </w:r>
            <w:proofErr w:type="spellEnd"/>
          </w:p>
        </w:tc>
        <w:tc>
          <w:tcPr>
            <w:tcW w:w="2610" w:type="dxa"/>
            <w:shd w:val="clear" w:color="auto" w:fill="auto"/>
          </w:tcPr>
          <w:p w:rsidR="00821239" w:rsidRPr="00925DE0" w:rsidRDefault="00821239" w:rsidP="00241081">
            <w:pPr>
              <w:pStyle w:val="BodyText"/>
              <w:ind w:left="90" w:right="90"/>
              <w:jc w:val="center"/>
            </w:pPr>
            <w:r>
              <w:t>Identical</w:t>
            </w:r>
          </w:p>
        </w:tc>
      </w:tr>
    </w:tbl>
    <w:p w:rsidR="00241081" w:rsidRDefault="00241081" w:rsidP="00241081">
      <w:pPr>
        <w:pStyle w:val="BodyText"/>
        <w:spacing w:line="244" w:lineRule="auto"/>
        <w:ind w:right="20"/>
        <w:jc w:val="both"/>
      </w:pPr>
    </w:p>
    <w:p w:rsidR="00241081" w:rsidRPr="00BC5997" w:rsidRDefault="00241081" w:rsidP="00241081">
      <w:pPr>
        <w:pStyle w:val="BodyText"/>
        <w:spacing w:line="244" w:lineRule="auto"/>
        <w:ind w:right="20"/>
      </w:pPr>
      <w:r w:rsidRPr="00BC5997">
        <w:t>The technical committee has reviewed the provisions of the following international standards referred in this adopted standard and decided that they are acceptable for use in conjunction with this standard.</w:t>
      </w:r>
    </w:p>
    <w:p w:rsidR="00241081" w:rsidRDefault="00241081" w:rsidP="00241081">
      <w:pPr>
        <w:pStyle w:val="BodyText"/>
        <w:spacing w:line="244" w:lineRule="auto"/>
        <w:ind w:right="20"/>
        <w:jc w:val="both"/>
      </w:pPr>
    </w:p>
    <w:tbl>
      <w:tblPr>
        <w:tblStyle w:val="TableGrid"/>
        <w:tblW w:w="0" w:type="auto"/>
        <w:tblInd w:w="108" w:type="dxa"/>
        <w:tblLook w:val="04A0"/>
      </w:tblPr>
      <w:tblGrid>
        <w:gridCol w:w="2520"/>
        <w:gridCol w:w="7560"/>
      </w:tblGrid>
      <w:tr w:rsidR="00241081" w:rsidTr="00241081">
        <w:tc>
          <w:tcPr>
            <w:tcW w:w="2520" w:type="dxa"/>
          </w:tcPr>
          <w:p w:rsidR="00241081" w:rsidRDefault="00241081" w:rsidP="00241081">
            <w:pPr>
              <w:pStyle w:val="BodyText"/>
              <w:spacing w:line="244" w:lineRule="auto"/>
              <w:ind w:right="20"/>
              <w:jc w:val="both"/>
            </w:pPr>
            <w:r w:rsidRPr="00E1746A">
              <w:rPr>
                <w:i/>
                <w:iCs/>
              </w:rPr>
              <w:t>International Standard</w:t>
            </w:r>
          </w:p>
        </w:tc>
        <w:tc>
          <w:tcPr>
            <w:tcW w:w="7560" w:type="dxa"/>
          </w:tcPr>
          <w:p w:rsidR="00241081" w:rsidRPr="00A208D7" w:rsidRDefault="00241081" w:rsidP="00241081">
            <w:pPr>
              <w:pStyle w:val="BodyText"/>
              <w:spacing w:line="244" w:lineRule="auto"/>
              <w:ind w:right="20"/>
              <w:jc w:val="center"/>
              <w:rPr>
                <w:i/>
                <w:iCs/>
              </w:rPr>
            </w:pPr>
            <w:r w:rsidRPr="00A208D7">
              <w:rPr>
                <w:i/>
                <w:iCs/>
              </w:rPr>
              <w:t>Title</w:t>
            </w:r>
          </w:p>
        </w:tc>
      </w:tr>
      <w:tr w:rsidR="00241081" w:rsidTr="00241081">
        <w:tc>
          <w:tcPr>
            <w:tcW w:w="2520" w:type="dxa"/>
          </w:tcPr>
          <w:p w:rsidR="00241081" w:rsidRPr="00496B0E" w:rsidRDefault="00241081" w:rsidP="00241081">
            <w:pPr>
              <w:pStyle w:val="BodyText"/>
              <w:spacing w:line="244" w:lineRule="auto"/>
              <w:ind w:right="20"/>
              <w:jc w:val="both"/>
            </w:pPr>
            <w:r w:rsidRPr="00096184">
              <w:t>IEC TS 60034-30-2</w:t>
            </w:r>
          </w:p>
        </w:tc>
        <w:tc>
          <w:tcPr>
            <w:tcW w:w="7560" w:type="dxa"/>
          </w:tcPr>
          <w:p w:rsidR="00241081" w:rsidRPr="00096184" w:rsidRDefault="00241081" w:rsidP="00241081">
            <w:pPr>
              <w:widowControl/>
              <w:adjustRightInd w:val="0"/>
              <w:rPr>
                <w:sz w:val="24"/>
                <w:szCs w:val="24"/>
              </w:rPr>
            </w:pPr>
            <w:r w:rsidRPr="00096184">
              <w:rPr>
                <w:sz w:val="24"/>
                <w:szCs w:val="24"/>
              </w:rPr>
              <w:t>Rotating electrical machines – Part 30-2: Efficiency classes of variable</w:t>
            </w:r>
          </w:p>
          <w:p w:rsidR="00241081" w:rsidRPr="00496B0E" w:rsidRDefault="00241081" w:rsidP="00241081">
            <w:pPr>
              <w:pStyle w:val="BodyText"/>
              <w:spacing w:line="244" w:lineRule="auto"/>
              <w:ind w:right="20"/>
            </w:pPr>
            <w:r w:rsidRPr="00096184">
              <w:t>speed AC motors (IE-code)</w:t>
            </w:r>
          </w:p>
        </w:tc>
      </w:tr>
      <w:tr w:rsidR="00241081" w:rsidTr="00241081">
        <w:tc>
          <w:tcPr>
            <w:tcW w:w="2520" w:type="dxa"/>
          </w:tcPr>
          <w:p w:rsidR="00241081" w:rsidRDefault="00241081" w:rsidP="00241081">
            <w:pPr>
              <w:pStyle w:val="BodyText"/>
              <w:spacing w:line="244" w:lineRule="auto"/>
              <w:ind w:right="20"/>
              <w:jc w:val="both"/>
            </w:pPr>
            <w:r w:rsidRPr="006209BC">
              <w:t>IEC 60034-19</w:t>
            </w:r>
          </w:p>
        </w:tc>
        <w:tc>
          <w:tcPr>
            <w:tcW w:w="7560" w:type="dxa"/>
          </w:tcPr>
          <w:p w:rsidR="00241081" w:rsidRDefault="00241081" w:rsidP="00241081">
            <w:pPr>
              <w:pStyle w:val="BodyText"/>
              <w:spacing w:line="244" w:lineRule="auto"/>
              <w:ind w:right="20"/>
              <w:jc w:val="both"/>
            </w:pPr>
            <w:r w:rsidRPr="006209BC">
              <w:t>Rotating electrical machines – Part 19:Specific test methods for DC machines</w:t>
            </w:r>
            <w:r>
              <w:t xml:space="preserve"> </w:t>
            </w:r>
            <w:r w:rsidRPr="006209BC">
              <w:t>on conventional and rectifier-fed supplies</w:t>
            </w:r>
          </w:p>
        </w:tc>
      </w:tr>
      <w:tr w:rsidR="00241081" w:rsidTr="00241081">
        <w:tc>
          <w:tcPr>
            <w:tcW w:w="2520" w:type="dxa"/>
          </w:tcPr>
          <w:p w:rsidR="00241081" w:rsidRPr="006209BC" w:rsidRDefault="00241081" w:rsidP="00241081">
            <w:pPr>
              <w:pStyle w:val="BodyText"/>
              <w:spacing w:line="244" w:lineRule="auto"/>
              <w:ind w:right="20"/>
              <w:jc w:val="both"/>
            </w:pPr>
            <w:r w:rsidRPr="00844FAF">
              <w:t>IEC 60034-29</w:t>
            </w:r>
          </w:p>
        </w:tc>
        <w:tc>
          <w:tcPr>
            <w:tcW w:w="7560" w:type="dxa"/>
          </w:tcPr>
          <w:p w:rsidR="00241081" w:rsidRPr="006209BC" w:rsidRDefault="00241081" w:rsidP="00241081">
            <w:pPr>
              <w:widowControl/>
              <w:adjustRightInd w:val="0"/>
            </w:pPr>
            <w:r w:rsidRPr="00844FAF">
              <w:rPr>
                <w:sz w:val="24"/>
                <w:szCs w:val="24"/>
              </w:rPr>
              <w:t>Rotating electrical machines – Part 29: Equivalent loading and superposition</w:t>
            </w:r>
            <w:r>
              <w:rPr>
                <w:sz w:val="24"/>
                <w:szCs w:val="24"/>
              </w:rPr>
              <w:t xml:space="preserve"> </w:t>
            </w:r>
            <w:r w:rsidRPr="00844FAF">
              <w:rPr>
                <w:sz w:val="24"/>
                <w:szCs w:val="24"/>
              </w:rPr>
              <w:t>techniques – Indirect testing to determine temperature rise</w:t>
            </w:r>
          </w:p>
        </w:tc>
      </w:tr>
    </w:tbl>
    <w:p w:rsidR="00241081" w:rsidRDefault="00241081" w:rsidP="00241081">
      <w:pPr>
        <w:pStyle w:val="BodyText"/>
        <w:spacing w:line="244" w:lineRule="auto"/>
        <w:ind w:right="20"/>
        <w:jc w:val="both"/>
      </w:pPr>
    </w:p>
    <w:p w:rsidR="00241081" w:rsidRDefault="00241081" w:rsidP="00241081">
      <w:pPr>
        <w:pStyle w:val="BodyText"/>
        <w:spacing w:line="244" w:lineRule="auto"/>
        <w:ind w:right="20"/>
        <w:jc w:val="both"/>
      </w:pPr>
      <w:r w:rsidRPr="004F7BF9">
        <w:t>Only English language text has been retained while adopting it in this Indian Standard, and as such the</w:t>
      </w:r>
      <w:r>
        <w:t xml:space="preserve"> </w:t>
      </w:r>
      <w:r w:rsidRPr="004F7BF9">
        <w:t>page numbers given here are not the same as in the International Standard.</w:t>
      </w:r>
    </w:p>
    <w:p w:rsidR="00241081" w:rsidRDefault="00241081" w:rsidP="00241081">
      <w:pPr>
        <w:pStyle w:val="BodyText"/>
        <w:spacing w:line="244" w:lineRule="auto"/>
        <w:ind w:right="20"/>
        <w:jc w:val="both"/>
      </w:pPr>
    </w:p>
    <w:p w:rsidR="00241081" w:rsidRDefault="00241081" w:rsidP="00241081">
      <w:pPr>
        <w:pStyle w:val="BodyText"/>
        <w:spacing w:line="244" w:lineRule="auto"/>
        <w:ind w:right="20"/>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Pr="00F9533F">
        <w:rPr>
          <w:i/>
          <w:iCs/>
        </w:rPr>
        <w:t>second</w:t>
      </w:r>
      <w:r w:rsidRPr="00AC0112">
        <w:rPr>
          <w:i/>
          <w:iCs/>
        </w:rPr>
        <w:t xml:space="preserve"> revision</w:t>
      </w:r>
      <w:r>
        <w:t>)’. The number of significant places retained in the rounded off value should be the same as that of the specified value in this standard.</w:t>
      </w:r>
    </w:p>
    <w:sectPr w:rsidR="00241081" w:rsidSect="00163987">
      <w:headerReference w:type="default" r:id="rId12"/>
      <w:pgSz w:w="12240" w:h="15840"/>
      <w:pgMar w:top="1260" w:right="1080" w:bottom="810" w:left="1080" w:header="722"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F06" w:rsidRDefault="004C5F06">
      <w:r>
        <w:separator/>
      </w:r>
    </w:p>
  </w:endnote>
  <w:endnote w:type="continuationSeparator" w:id="0">
    <w:p w:rsidR="004C5F06" w:rsidRDefault="004C5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F06" w:rsidRDefault="004C5F06">
      <w:r>
        <w:separator/>
      </w:r>
    </w:p>
  </w:footnote>
  <w:footnote w:type="continuationSeparator" w:id="0">
    <w:p w:rsidR="004C5F06" w:rsidRDefault="004C5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D6E" w:rsidRDefault="00B67E08">
    <w:pPr>
      <w:pStyle w:val="BodyText"/>
      <w:spacing w:line="14" w:lineRule="auto"/>
      <w:rPr>
        <w:sz w:val="20"/>
      </w:rPr>
    </w:pPr>
    <w:r w:rsidRPr="00B67E08">
      <w:pict>
        <v:shapetype id="_x0000_t202" coordsize="21600,21600" o:spt="202" path="m,l,21600r21600,l21600,xe">
          <v:stroke joinstyle="miter"/>
          <v:path gradientshapeok="t" o:connecttype="rect"/>
        </v:shapetype>
        <v:shape id="_x0000_s2049" type="#_x0000_t202" style="position:absolute;margin-left:458.2pt;margin-top:35.6pt;width:103.55pt;height:29.05pt;z-index:-251658752;mso-position-horizontal-relative:page;mso-position-vertical-relative:page" filled="f" stroked="f">
          <v:textbox style="mso-next-textbox:#_x0000_s2049" inset="0,0,0,0">
            <w:txbxContent>
              <w:p w:rsidR="00FB2D6E" w:rsidRPr="00990A17" w:rsidRDefault="00FB2D6E" w:rsidP="00990A17"/>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B7B"/>
    <w:multiLevelType w:val="hybridMultilevel"/>
    <w:tmpl w:val="34F294E2"/>
    <w:lvl w:ilvl="0" w:tplc="0DEC98BA">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DDEF4F8">
      <w:numFmt w:val="bullet"/>
      <w:lvlText w:val="•"/>
      <w:lvlJc w:val="left"/>
      <w:pPr>
        <w:ind w:left="2202" w:hanging="360"/>
      </w:pPr>
      <w:rPr>
        <w:rFonts w:hint="default"/>
        <w:lang w:val="en-US" w:eastAsia="en-US" w:bidi="ar-SA"/>
      </w:rPr>
    </w:lvl>
    <w:lvl w:ilvl="2" w:tplc="6568A862">
      <w:numFmt w:val="bullet"/>
      <w:lvlText w:val="•"/>
      <w:lvlJc w:val="left"/>
      <w:pPr>
        <w:ind w:left="3204" w:hanging="360"/>
      </w:pPr>
      <w:rPr>
        <w:rFonts w:hint="default"/>
        <w:lang w:val="en-US" w:eastAsia="en-US" w:bidi="ar-SA"/>
      </w:rPr>
    </w:lvl>
    <w:lvl w:ilvl="3" w:tplc="5CE67B0A">
      <w:numFmt w:val="bullet"/>
      <w:lvlText w:val="•"/>
      <w:lvlJc w:val="left"/>
      <w:pPr>
        <w:ind w:left="4206" w:hanging="360"/>
      </w:pPr>
      <w:rPr>
        <w:rFonts w:hint="default"/>
        <w:lang w:val="en-US" w:eastAsia="en-US" w:bidi="ar-SA"/>
      </w:rPr>
    </w:lvl>
    <w:lvl w:ilvl="4" w:tplc="D4685B6E">
      <w:numFmt w:val="bullet"/>
      <w:lvlText w:val="•"/>
      <w:lvlJc w:val="left"/>
      <w:pPr>
        <w:ind w:left="5208" w:hanging="360"/>
      </w:pPr>
      <w:rPr>
        <w:rFonts w:hint="default"/>
        <w:lang w:val="en-US" w:eastAsia="en-US" w:bidi="ar-SA"/>
      </w:rPr>
    </w:lvl>
    <w:lvl w:ilvl="5" w:tplc="0B9A58FA">
      <w:numFmt w:val="bullet"/>
      <w:lvlText w:val="•"/>
      <w:lvlJc w:val="left"/>
      <w:pPr>
        <w:ind w:left="6210" w:hanging="360"/>
      </w:pPr>
      <w:rPr>
        <w:rFonts w:hint="default"/>
        <w:lang w:val="en-US" w:eastAsia="en-US" w:bidi="ar-SA"/>
      </w:rPr>
    </w:lvl>
    <w:lvl w:ilvl="6" w:tplc="FDC4CF9A">
      <w:numFmt w:val="bullet"/>
      <w:lvlText w:val="•"/>
      <w:lvlJc w:val="left"/>
      <w:pPr>
        <w:ind w:left="7212" w:hanging="360"/>
      </w:pPr>
      <w:rPr>
        <w:rFonts w:hint="default"/>
        <w:lang w:val="en-US" w:eastAsia="en-US" w:bidi="ar-SA"/>
      </w:rPr>
    </w:lvl>
    <w:lvl w:ilvl="7" w:tplc="D4847062">
      <w:numFmt w:val="bullet"/>
      <w:lvlText w:val="•"/>
      <w:lvlJc w:val="left"/>
      <w:pPr>
        <w:ind w:left="8214" w:hanging="360"/>
      </w:pPr>
      <w:rPr>
        <w:rFonts w:hint="default"/>
        <w:lang w:val="en-US" w:eastAsia="en-US" w:bidi="ar-SA"/>
      </w:rPr>
    </w:lvl>
    <w:lvl w:ilvl="8" w:tplc="D9C61324">
      <w:numFmt w:val="bullet"/>
      <w:lvlText w:val="•"/>
      <w:lvlJc w:val="left"/>
      <w:pPr>
        <w:ind w:left="9216" w:hanging="360"/>
      </w:pPr>
      <w:rPr>
        <w:rFonts w:hint="default"/>
        <w:lang w:val="en-US" w:eastAsia="en-US" w:bidi="ar-SA"/>
      </w:rPr>
    </w:lvl>
  </w:abstractNum>
  <w:abstractNum w:abstractNumId="1">
    <w:nsid w:val="21B66DA1"/>
    <w:multiLevelType w:val="hybridMultilevel"/>
    <w:tmpl w:val="316676DE"/>
    <w:lvl w:ilvl="0" w:tplc="9CAAADD6">
      <w:start w:val="1"/>
      <w:numFmt w:val="lowerLetter"/>
      <w:lvlText w:val="%1)"/>
      <w:lvlJc w:val="left"/>
      <w:pPr>
        <w:ind w:left="1221" w:hanging="360"/>
      </w:pPr>
      <w:rPr>
        <w:rFonts w:ascii="Times New Roman" w:eastAsia="Times New Roman" w:hAnsi="Times New Roman" w:cs="Times New Roman" w:hint="default"/>
        <w:spacing w:val="-2"/>
        <w:w w:val="99"/>
        <w:sz w:val="24"/>
        <w:szCs w:val="24"/>
        <w:lang w:val="en-US" w:eastAsia="en-US" w:bidi="ar-SA"/>
      </w:rPr>
    </w:lvl>
    <w:lvl w:ilvl="1" w:tplc="85D4A9E0">
      <w:numFmt w:val="bullet"/>
      <w:lvlText w:val="•"/>
      <w:lvlJc w:val="left"/>
      <w:pPr>
        <w:ind w:left="2108" w:hanging="360"/>
      </w:pPr>
      <w:rPr>
        <w:rFonts w:hint="default"/>
        <w:lang w:val="en-US" w:eastAsia="en-US" w:bidi="ar-SA"/>
      </w:rPr>
    </w:lvl>
    <w:lvl w:ilvl="2" w:tplc="AC109094">
      <w:numFmt w:val="bullet"/>
      <w:lvlText w:val="•"/>
      <w:lvlJc w:val="left"/>
      <w:pPr>
        <w:ind w:left="2996" w:hanging="360"/>
      </w:pPr>
      <w:rPr>
        <w:rFonts w:hint="default"/>
        <w:lang w:val="en-US" w:eastAsia="en-US" w:bidi="ar-SA"/>
      </w:rPr>
    </w:lvl>
    <w:lvl w:ilvl="3" w:tplc="F0C43802">
      <w:numFmt w:val="bullet"/>
      <w:lvlText w:val="•"/>
      <w:lvlJc w:val="left"/>
      <w:pPr>
        <w:ind w:left="3884" w:hanging="360"/>
      </w:pPr>
      <w:rPr>
        <w:rFonts w:hint="default"/>
        <w:lang w:val="en-US" w:eastAsia="en-US" w:bidi="ar-SA"/>
      </w:rPr>
    </w:lvl>
    <w:lvl w:ilvl="4" w:tplc="16365C24">
      <w:numFmt w:val="bullet"/>
      <w:lvlText w:val="•"/>
      <w:lvlJc w:val="left"/>
      <w:pPr>
        <w:ind w:left="4772" w:hanging="360"/>
      </w:pPr>
      <w:rPr>
        <w:rFonts w:hint="default"/>
        <w:lang w:val="en-US" w:eastAsia="en-US" w:bidi="ar-SA"/>
      </w:rPr>
    </w:lvl>
    <w:lvl w:ilvl="5" w:tplc="29EE0BAE">
      <w:numFmt w:val="bullet"/>
      <w:lvlText w:val="•"/>
      <w:lvlJc w:val="left"/>
      <w:pPr>
        <w:ind w:left="5660" w:hanging="360"/>
      </w:pPr>
      <w:rPr>
        <w:rFonts w:hint="default"/>
        <w:lang w:val="en-US" w:eastAsia="en-US" w:bidi="ar-SA"/>
      </w:rPr>
    </w:lvl>
    <w:lvl w:ilvl="6" w:tplc="4CCA43EA">
      <w:numFmt w:val="bullet"/>
      <w:lvlText w:val="•"/>
      <w:lvlJc w:val="left"/>
      <w:pPr>
        <w:ind w:left="6548" w:hanging="360"/>
      </w:pPr>
      <w:rPr>
        <w:rFonts w:hint="default"/>
        <w:lang w:val="en-US" w:eastAsia="en-US" w:bidi="ar-SA"/>
      </w:rPr>
    </w:lvl>
    <w:lvl w:ilvl="7" w:tplc="CD84E536">
      <w:numFmt w:val="bullet"/>
      <w:lvlText w:val="•"/>
      <w:lvlJc w:val="left"/>
      <w:pPr>
        <w:ind w:left="7436" w:hanging="360"/>
      </w:pPr>
      <w:rPr>
        <w:rFonts w:hint="default"/>
        <w:lang w:val="en-US" w:eastAsia="en-US" w:bidi="ar-SA"/>
      </w:rPr>
    </w:lvl>
    <w:lvl w:ilvl="8" w:tplc="F5405778">
      <w:numFmt w:val="bullet"/>
      <w:lvlText w:val="•"/>
      <w:lvlJc w:val="left"/>
      <w:pPr>
        <w:ind w:left="8324" w:hanging="360"/>
      </w:pPr>
      <w:rPr>
        <w:rFonts w:hint="default"/>
        <w:lang w:val="en-US" w:eastAsia="en-US" w:bidi="ar-SA"/>
      </w:rPr>
    </w:lvl>
  </w:abstractNum>
  <w:abstractNum w:abstractNumId="2">
    <w:nsid w:val="397C0AF0"/>
    <w:multiLevelType w:val="multilevel"/>
    <w:tmpl w:val="4C06114A"/>
    <w:lvl w:ilvl="0">
      <w:start w:val="1"/>
      <w:numFmt w:val="decimal"/>
      <w:lvlText w:val="%1"/>
      <w:lvlJc w:val="left"/>
      <w:pPr>
        <w:ind w:left="662" w:hanging="183"/>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4"/>
        <w:szCs w:val="24"/>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abstractNum w:abstractNumId="3">
    <w:nsid w:val="47BD61E1"/>
    <w:multiLevelType w:val="multilevel"/>
    <w:tmpl w:val="E4448E70"/>
    <w:lvl w:ilvl="0">
      <w:start w:val="1"/>
      <w:numFmt w:val="decimal"/>
      <w:lvlText w:val="%1"/>
      <w:lvlJc w:val="left"/>
      <w:pPr>
        <w:ind w:left="662" w:hanging="183"/>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4"/>
        <w:szCs w:val="24"/>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abstractNum w:abstractNumId="4">
    <w:nsid w:val="5BB16274"/>
    <w:multiLevelType w:val="hybridMultilevel"/>
    <w:tmpl w:val="4050B3F0"/>
    <w:lvl w:ilvl="0" w:tplc="976EF8E0">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E62EFF0E">
      <w:start w:val="1"/>
      <w:numFmt w:val="decimal"/>
      <w:lvlText w:val="%2)"/>
      <w:lvlJc w:val="left"/>
      <w:pPr>
        <w:ind w:left="19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BD227944">
      <w:numFmt w:val="bullet"/>
      <w:lvlText w:val="•"/>
      <w:lvlJc w:val="left"/>
      <w:pPr>
        <w:ind w:left="2953" w:hanging="360"/>
      </w:pPr>
      <w:rPr>
        <w:rFonts w:hint="default"/>
        <w:lang w:val="en-US" w:eastAsia="en-US" w:bidi="ar-SA"/>
      </w:rPr>
    </w:lvl>
    <w:lvl w:ilvl="3" w:tplc="B420C4AE">
      <w:numFmt w:val="bullet"/>
      <w:lvlText w:val="•"/>
      <w:lvlJc w:val="left"/>
      <w:pPr>
        <w:ind w:left="3986" w:hanging="360"/>
      </w:pPr>
      <w:rPr>
        <w:rFonts w:hint="default"/>
        <w:lang w:val="en-US" w:eastAsia="en-US" w:bidi="ar-SA"/>
      </w:rPr>
    </w:lvl>
    <w:lvl w:ilvl="4" w:tplc="EE70007C">
      <w:numFmt w:val="bullet"/>
      <w:lvlText w:val="•"/>
      <w:lvlJc w:val="left"/>
      <w:pPr>
        <w:ind w:left="5020" w:hanging="360"/>
      </w:pPr>
      <w:rPr>
        <w:rFonts w:hint="default"/>
        <w:lang w:val="en-US" w:eastAsia="en-US" w:bidi="ar-SA"/>
      </w:rPr>
    </w:lvl>
    <w:lvl w:ilvl="5" w:tplc="D932D7E2">
      <w:numFmt w:val="bullet"/>
      <w:lvlText w:val="•"/>
      <w:lvlJc w:val="left"/>
      <w:pPr>
        <w:ind w:left="6053" w:hanging="360"/>
      </w:pPr>
      <w:rPr>
        <w:rFonts w:hint="default"/>
        <w:lang w:val="en-US" w:eastAsia="en-US" w:bidi="ar-SA"/>
      </w:rPr>
    </w:lvl>
    <w:lvl w:ilvl="6" w:tplc="8F74E65E">
      <w:numFmt w:val="bullet"/>
      <w:lvlText w:val="•"/>
      <w:lvlJc w:val="left"/>
      <w:pPr>
        <w:ind w:left="7086" w:hanging="360"/>
      </w:pPr>
      <w:rPr>
        <w:rFonts w:hint="default"/>
        <w:lang w:val="en-US" w:eastAsia="en-US" w:bidi="ar-SA"/>
      </w:rPr>
    </w:lvl>
    <w:lvl w:ilvl="7" w:tplc="646845E6">
      <w:numFmt w:val="bullet"/>
      <w:lvlText w:val="•"/>
      <w:lvlJc w:val="left"/>
      <w:pPr>
        <w:ind w:left="8120" w:hanging="360"/>
      </w:pPr>
      <w:rPr>
        <w:rFonts w:hint="default"/>
        <w:lang w:val="en-US" w:eastAsia="en-US" w:bidi="ar-SA"/>
      </w:rPr>
    </w:lvl>
    <w:lvl w:ilvl="8" w:tplc="02527EBC">
      <w:numFmt w:val="bullet"/>
      <w:lvlText w:val="•"/>
      <w:lvlJc w:val="left"/>
      <w:pPr>
        <w:ind w:left="9153" w:hanging="360"/>
      </w:pPr>
      <w:rPr>
        <w:rFonts w:hint="default"/>
        <w:lang w:val="en-US" w:eastAsia="en-US" w:bidi="ar-SA"/>
      </w:rPr>
    </w:lvl>
  </w:abstractNum>
  <w:abstractNum w:abstractNumId="5">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71284A"/>
    <w:multiLevelType w:val="multilevel"/>
    <w:tmpl w:val="F5729EFE"/>
    <w:lvl w:ilvl="0">
      <w:start w:val="1"/>
      <w:numFmt w:val="decimal"/>
      <w:lvlText w:val="%1."/>
      <w:lvlJc w:val="left"/>
      <w:pPr>
        <w:ind w:left="662" w:hanging="183"/>
      </w:pPr>
      <w:rPr>
        <w:rFonts w:ascii="Times New Roman" w:hAnsi="Times New Roman" w:hint="default"/>
        <w:b/>
        <w:bCs/>
        <w:i w:val="0"/>
        <w:iCs w:val="0"/>
        <w:spacing w:val="0"/>
        <w:w w:val="100"/>
        <w:sz w:val="20"/>
        <w:szCs w:val="16"/>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0"/>
        <w:szCs w:val="20"/>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hdrShapeDefaults>
    <o:shapedefaults v:ext="edit" spidmax="24578"/>
    <o:shapelayout v:ext="edit">
      <o:idmap v:ext="edit" data="2"/>
    </o:shapelayout>
  </w:hdrShapeDefaults>
  <w:footnotePr>
    <w:footnote w:id="-1"/>
    <w:footnote w:id="0"/>
  </w:footnotePr>
  <w:endnotePr>
    <w:endnote w:id="-1"/>
    <w:endnote w:id="0"/>
  </w:endnotePr>
  <w:compat>
    <w:ulTrailSpace/>
    <w:shapeLayoutLikeWW8/>
  </w:compat>
  <w:rsids>
    <w:rsidRoot w:val="00F3384B"/>
    <w:rsid w:val="000034B0"/>
    <w:rsid w:val="000042B4"/>
    <w:rsid w:val="00004FCA"/>
    <w:rsid w:val="00015CC2"/>
    <w:rsid w:val="00021E35"/>
    <w:rsid w:val="00023D51"/>
    <w:rsid w:val="0002510E"/>
    <w:rsid w:val="00030859"/>
    <w:rsid w:val="000316ED"/>
    <w:rsid w:val="000334FA"/>
    <w:rsid w:val="00036AC8"/>
    <w:rsid w:val="00037C78"/>
    <w:rsid w:val="00040323"/>
    <w:rsid w:val="00056B38"/>
    <w:rsid w:val="00061338"/>
    <w:rsid w:val="00074EF0"/>
    <w:rsid w:val="000B121C"/>
    <w:rsid w:val="000B3E65"/>
    <w:rsid w:val="000D5E5D"/>
    <w:rsid w:val="001168E9"/>
    <w:rsid w:val="00125D5B"/>
    <w:rsid w:val="00136DCF"/>
    <w:rsid w:val="001436FD"/>
    <w:rsid w:val="00145988"/>
    <w:rsid w:val="00155C75"/>
    <w:rsid w:val="00163987"/>
    <w:rsid w:val="001875E8"/>
    <w:rsid w:val="001A0B24"/>
    <w:rsid w:val="001A11DB"/>
    <w:rsid w:val="001A5EA1"/>
    <w:rsid w:val="001A6F17"/>
    <w:rsid w:val="001F7066"/>
    <w:rsid w:val="0021301E"/>
    <w:rsid w:val="00230BE8"/>
    <w:rsid w:val="00241081"/>
    <w:rsid w:val="00241261"/>
    <w:rsid w:val="002716D8"/>
    <w:rsid w:val="00271B39"/>
    <w:rsid w:val="00271EDA"/>
    <w:rsid w:val="002A0194"/>
    <w:rsid w:val="002A2DE8"/>
    <w:rsid w:val="002D55E6"/>
    <w:rsid w:val="002D6472"/>
    <w:rsid w:val="002F3C9F"/>
    <w:rsid w:val="00300584"/>
    <w:rsid w:val="00311253"/>
    <w:rsid w:val="00316CDE"/>
    <w:rsid w:val="00356343"/>
    <w:rsid w:val="00356581"/>
    <w:rsid w:val="00360143"/>
    <w:rsid w:val="00360E1F"/>
    <w:rsid w:val="0036579B"/>
    <w:rsid w:val="00377C08"/>
    <w:rsid w:val="00381881"/>
    <w:rsid w:val="003A7067"/>
    <w:rsid w:val="003C784D"/>
    <w:rsid w:val="003F5363"/>
    <w:rsid w:val="00415546"/>
    <w:rsid w:val="00422F89"/>
    <w:rsid w:val="0042640D"/>
    <w:rsid w:val="004269A7"/>
    <w:rsid w:val="00446AC5"/>
    <w:rsid w:val="00453FB8"/>
    <w:rsid w:val="0046217D"/>
    <w:rsid w:val="0046471E"/>
    <w:rsid w:val="004741FE"/>
    <w:rsid w:val="004926E9"/>
    <w:rsid w:val="0049647A"/>
    <w:rsid w:val="004B7078"/>
    <w:rsid w:val="004C5F06"/>
    <w:rsid w:val="004D17E1"/>
    <w:rsid w:val="004E0EC8"/>
    <w:rsid w:val="004F781A"/>
    <w:rsid w:val="005025CE"/>
    <w:rsid w:val="00505346"/>
    <w:rsid w:val="005314D0"/>
    <w:rsid w:val="00543893"/>
    <w:rsid w:val="00544EE1"/>
    <w:rsid w:val="005470F9"/>
    <w:rsid w:val="00551558"/>
    <w:rsid w:val="00552D6A"/>
    <w:rsid w:val="005539C4"/>
    <w:rsid w:val="00574FE2"/>
    <w:rsid w:val="00586952"/>
    <w:rsid w:val="005A5B6B"/>
    <w:rsid w:val="005C2127"/>
    <w:rsid w:val="005C5AED"/>
    <w:rsid w:val="005D1AC9"/>
    <w:rsid w:val="005D57A4"/>
    <w:rsid w:val="005D76CB"/>
    <w:rsid w:val="005E3510"/>
    <w:rsid w:val="005E73E6"/>
    <w:rsid w:val="005F523C"/>
    <w:rsid w:val="0060795A"/>
    <w:rsid w:val="00617A8E"/>
    <w:rsid w:val="0062081F"/>
    <w:rsid w:val="00625DD7"/>
    <w:rsid w:val="00632307"/>
    <w:rsid w:val="00633F7D"/>
    <w:rsid w:val="006350D6"/>
    <w:rsid w:val="00635317"/>
    <w:rsid w:val="00646DCE"/>
    <w:rsid w:val="00647E39"/>
    <w:rsid w:val="00660DA2"/>
    <w:rsid w:val="00671318"/>
    <w:rsid w:val="0068256B"/>
    <w:rsid w:val="00685EAD"/>
    <w:rsid w:val="0069088C"/>
    <w:rsid w:val="0069164A"/>
    <w:rsid w:val="00691CC5"/>
    <w:rsid w:val="0069497B"/>
    <w:rsid w:val="00696BEA"/>
    <w:rsid w:val="006B0C4B"/>
    <w:rsid w:val="006B2519"/>
    <w:rsid w:val="006B2FE1"/>
    <w:rsid w:val="006D2C77"/>
    <w:rsid w:val="006F51D3"/>
    <w:rsid w:val="00706274"/>
    <w:rsid w:val="00715C77"/>
    <w:rsid w:val="0072345C"/>
    <w:rsid w:val="007247C7"/>
    <w:rsid w:val="00735069"/>
    <w:rsid w:val="00740066"/>
    <w:rsid w:val="00744694"/>
    <w:rsid w:val="00774096"/>
    <w:rsid w:val="00774D70"/>
    <w:rsid w:val="007C16C9"/>
    <w:rsid w:val="007D5C24"/>
    <w:rsid w:val="00821239"/>
    <w:rsid w:val="00821F98"/>
    <w:rsid w:val="008359F9"/>
    <w:rsid w:val="008524EA"/>
    <w:rsid w:val="00866135"/>
    <w:rsid w:val="0088204D"/>
    <w:rsid w:val="008C295A"/>
    <w:rsid w:val="008D0FBB"/>
    <w:rsid w:val="008D3483"/>
    <w:rsid w:val="008F1D16"/>
    <w:rsid w:val="00924F88"/>
    <w:rsid w:val="0092708A"/>
    <w:rsid w:val="0093605B"/>
    <w:rsid w:val="009374FD"/>
    <w:rsid w:val="00940BFA"/>
    <w:rsid w:val="009433F3"/>
    <w:rsid w:val="00970C36"/>
    <w:rsid w:val="00990A17"/>
    <w:rsid w:val="00992E8A"/>
    <w:rsid w:val="00992EF6"/>
    <w:rsid w:val="009B6106"/>
    <w:rsid w:val="009C01AC"/>
    <w:rsid w:val="009C4EAA"/>
    <w:rsid w:val="009D0042"/>
    <w:rsid w:val="009D715B"/>
    <w:rsid w:val="00A032C1"/>
    <w:rsid w:val="00A10624"/>
    <w:rsid w:val="00A12EB6"/>
    <w:rsid w:val="00A2242E"/>
    <w:rsid w:val="00A51CC1"/>
    <w:rsid w:val="00A521CE"/>
    <w:rsid w:val="00A67F0D"/>
    <w:rsid w:val="00A7286C"/>
    <w:rsid w:val="00A7333C"/>
    <w:rsid w:val="00A75D5F"/>
    <w:rsid w:val="00A77C92"/>
    <w:rsid w:val="00AA144A"/>
    <w:rsid w:val="00AA2DB0"/>
    <w:rsid w:val="00AC457B"/>
    <w:rsid w:val="00AD1240"/>
    <w:rsid w:val="00AD496C"/>
    <w:rsid w:val="00AD5249"/>
    <w:rsid w:val="00AD6D83"/>
    <w:rsid w:val="00B04A2D"/>
    <w:rsid w:val="00B31AEA"/>
    <w:rsid w:val="00B40E7A"/>
    <w:rsid w:val="00B67E08"/>
    <w:rsid w:val="00B71112"/>
    <w:rsid w:val="00B74C44"/>
    <w:rsid w:val="00B86D82"/>
    <w:rsid w:val="00B900E3"/>
    <w:rsid w:val="00B95936"/>
    <w:rsid w:val="00BC349E"/>
    <w:rsid w:val="00BD35EF"/>
    <w:rsid w:val="00BE54C2"/>
    <w:rsid w:val="00C07DCD"/>
    <w:rsid w:val="00C4766A"/>
    <w:rsid w:val="00C55EDE"/>
    <w:rsid w:val="00C624B8"/>
    <w:rsid w:val="00C7234C"/>
    <w:rsid w:val="00C75FED"/>
    <w:rsid w:val="00C76315"/>
    <w:rsid w:val="00C80014"/>
    <w:rsid w:val="00C87A6F"/>
    <w:rsid w:val="00C94A83"/>
    <w:rsid w:val="00CA7E07"/>
    <w:rsid w:val="00CC3B49"/>
    <w:rsid w:val="00CD39B4"/>
    <w:rsid w:val="00D1108E"/>
    <w:rsid w:val="00D46038"/>
    <w:rsid w:val="00D900D1"/>
    <w:rsid w:val="00DC1787"/>
    <w:rsid w:val="00DC3D58"/>
    <w:rsid w:val="00DD3054"/>
    <w:rsid w:val="00DD4942"/>
    <w:rsid w:val="00DF2272"/>
    <w:rsid w:val="00DF4490"/>
    <w:rsid w:val="00E162D4"/>
    <w:rsid w:val="00E1746A"/>
    <w:rsid w:val="00E2715D"/>
    <w:rsid w:val="00E33DE8"/>
    <w:rsid w:val="00E403FD"/>
    <w:rsid w:val="00E50EEA"/>
    <w:rsid w:val="00E56845"/>
    <w:rsid w:val="00E73D68"/>
    <w:rsid w:val="00EA5F53"/>
    <w:rsid w:val="00EA7F06"/>
    <w:rsid w:val="00EA7F8D"/>
    <w:rsid w:val="00ED4740"/>
    <w:rsid w:val="00EE0EB2"/>
    <w:rsid w:val="00EF74D8"/>
    <w:rsid w:val="00F049C4"/>
    <w:rsid w:val="00F051E4"/>
    <w:rsid w:val="00F16AF5"/>
    <w:rsid w:val="00F2247B"/>
    <w:rsid w:val="00F25DB7"/>
    <w:rsid w:val="00F30B65"/>
    <w:rsid w:val="00F337E1"/>
    <w:rsid w:val="00F3384B"/>
    <w:rsid w:val="00F546BF"/>
    <w:rsid w:val="00F54FFF"/>
    <w:rsid w:val="00F55D40"/>
    <w:rsid w:val="00F716A2"/>
    <w:rsid w:val="00F76247"/>
    <w:rsid w:val="00FB2D6E"/>
    <w:rsid w:val="00FB3433"/>
    <w:rsid w:val="00FC517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5DB7"/>
    <w:rPr>
      <w:rFonts w:ascii="Times New Roman" w:eastAsia="Times New Roman" w:hAnsi="Times New Roman" w:cs="Times New Roman"/>
    </w:rPr>
  </w:style>
  <w:style w:type="paragraph" w:styleId="Heading1">
    <w:name w:val="heading 1"/>
    <w:basedOn w:val="Normal"/>
    <w:uiPriority w:val="1"/>
    <w:qFormat/>
    <w:rsid w:val="00F25DB7"/>
    <w:pPr>
      <w:ind w:left="66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DB7"/>
    <w:rPr>
      <w:sz w:val="24"/>
      <w:szCs w:val="24"/>
    </w:rPr>
  </w:style>
  <w:style w:type="paragraph" w:styleId="ListParagraph">
    <w:name w:val="List Paragraph"/>
    <w:basedOn w:val="Normal"/>
    <w:uiPriority w:val="1"/>
    <w:qFormat/>
    <w:rsid w:val="00F25DB7"/>
    <w:pPr>
      <w:ind w:left="480"/>
    </w:pPr>
  </w:style>
  <w:style w:type="paragraph" w:customStyle="1" w:styleId="TableParagraph">
    <w:name w:val="Table Paragraph"/>
    <w:basedOn w:val="Normal"/>
    <w:uiPriority w:val="1"/>
    <w:qFormat/>
    <w:rsid w:val="00F25DB7"/>
  </w:style>
  <w:style w:type="paragraph" w:styleId="Header">
    <w:name w:val="header"/>
    <w:basedOn w:val="Normal"/>
    <w:link w:val="HeaderChar"/>
    <w:uiPriority w:val="99"/>
    <w:unhideWhenUsed/>
    <w:rsid w:val="001F7066"/>
    <w:pPr>
      <w:tabs>
        <w:tab w:val="center" w:pos="4680"/>
        <w:tab w:val="right" w:pos="9360"/>
      </w:tabs>
    </w:pPr>
  </w:style>
  <w:style w:type="character" w:customStyle="1" w:styleId="HeaderChar">
    <w:name w:val="Header Char"/>
    <w:basedOn w:val="DefaultParagraphFont"/>
    <w:link w:val="Header"/>
    <w:uiPriority w:val="99"/>
    <w:rsid w:val="001F7066"/>
    <w:rPr>
      <w:rFonts w:ascii="Times New Roman" w:eastAsia="Times New Roman" w:hAnsi="Times New Roman" w:cs="Times New Roman"/>
    </w:rPr>
  </w:style>
  <w:style w:type="paragraph" w:styleId="Footer">
    <w:name w:val="footer"/>
    <w:basedOn w:val="Normal"/>
    <w:link w:val="FooterChar"/>
    <w:uiPriority w:val="99"/>
    <w:unhideWhenUsed/>
    <w:rsid w:val="001F7066"/>
    <w:pPr>
      <w:tabs>
        <w:tab w:val="center" w:pos="4680"/>
        <w:tab w:val="right" w:pos="9360"/>
      </w:tabs>
    </w:pPr>
  </w:style>
  <w:style w:type="character" w:customStyle="1" w:styleId="FooterChar">
    <w:name w:val="Footer Char"/>
    <w:basedOn w:val="DefaultParagraphFont"/>
    <w:link w:val="Footer"/>
    <w:uiPriority w:val="99"/>
    <w:rsid w:val="001F7066"/>
    <w:rPr>
      <w:rFonts w:ascii="Times New Roman" w:eastAsia="Times New Roman" w:hAnsi="Times New Roman" w:cs="Times New Roman"/>
    </w:rPr>
  </w:style>
  <w:style w:type="table" w:styleId="TableGrid">
    <w:name w:val="Table Grid"/>
    <w:basedOn w:val="TableNormal"/>
    <w:uiPriority w:val="39"/>
    <w:rsid w:val="004964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7F06"/>
    <w:rPr>
      <w:rFonts w:ascii="Tahoma" w:hAnsi="Tahoma" w:cs="Tahoma"/>
      <w:sz w:val="16"/>
      <w:szCs w:val="16"/>
    </w:rPr>
  </w:style>
  <w:style w:type="character" w:customStyle="1" w:styleId="BalloonTextChar">
    <w:name w:val="Balloon Text Char"/>
    <w:basedOn w:val="DefaultParagraphFont"/>
    <w:link w:val="BalloonText"/>
    <w:uiPriority w:val="99"/>
    <w:semiHidden/>
    <w:rsid w:val="00EA7F06"/>
    <w:rPr>
      <w:rFonts w:ascii="Tahoma" w:eastAsia="Times New Roman" w:hAnsi="Tahoma" w:cs="Tahoma"/>
      <w:sz w:val="16"/>
      <w:szCs w:val="16"/>
    </w:rPr>
  </w:style>
  <w:style w:type="character" w:styleId="Hyperlink">
    <w:name w:val="Hyperlink"/>
    <w:basedOn w:val="DefaultParagraphFont"/>
    <w:uiPriority w:val="99"/>
    <w:semiHidden/>
    <w:unhideWhenUsed/>
    <w:rsid w:val="00145988"/>
    <w:rPr>
      <w:color w:val="0000FF"/>
      <w:u w:val="single"/>
    </w:rPr>
  </w:style>
  <w:style w:type="paragraph" w:styleId="NormalWeb">
    <w:name w:val="Normal (Web)"/>
    <w:basedOn w:val="Normal"/>
    <w:uiPriority w:val="99"/>
    <w:semiHidden/>
    <w:unhideWhenUsed/>
    <w:rsid w:val="00145988"/>
    <w:pPr>
      <w:widowControl/>
      <w:autoSpaceDE/>
      <w:autoSpaceDN/>
      <w:spacing w:before="100" w:beforeAutospacing="1" w:after="100" w:afterAutospacing="1"/>
    </w:pPr>
    <w:rPr>
      <w:sz w:val="24"/>
      <w:szCs w:val="24"/>
      <w:lang w:bidi="hi-IN"/>
    </w:rPr>
  </w:style>
  <w:style w:type="character" w:customStyle="1" w:styleId="BodyTextChar">
    <w:name w:val="Body Text Char"/>
    <w:basedOn w:val="DefaultParagraphFont"/>
    <w:link w:val="BodyText"/>
    <w:uiPriority w:val="1"/>
    <w:rsid w:val="0024108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537395652">
      <w:bodyDiv w:val="1"/>
      <w:marLeft w:val="0"/>
      <w:marRight w:val="0"/>
      <w:marTop w:val="0"/>
      <w:marBottom w:val="0"/>
      <w:divBdr>
        <w:top w:val="none" w:sz="0" w:space="0" w:color="auto"/>
        <w:left w:val="none" w:sz="0" w:space="0" w:color="auto"/>
        <w:bottom w:val="none" w:sz="0" w:space="0" w:color="auto"/>
        <w:right w:val="none" w:sz="0" w:space="0" w:color="auto"/>
      </w:divBdr>
    </w:div>
    <w:div w:id="197009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4</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BIS1</cp:lastModifiedBy>
  <cp:revision>4</cp:revision>
  <cp:lastPrinted>2024-09-03T06:10:00Z</cp:lastPrinted>
  <dcterms:created xsi:type="dcterms:W3CDTF">2023-11-10T08:47:00Z</dcterms:created>
  <dcterms:modified xsi:type="dcterms:W3CDTF">2024-09-13T04:16:00Z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2013</vt:lpwstr>
  </property>
  <property fmtid="{D5CDD505-2E9C-101B-9397-08002B2CF9AE}" pid="4" name="LastSaved">
    <vt:filetime>2023-11-09T00:00:00Z</vt:filetime>
  </property>
  <property fmtid="{D5CDD505-2E9C-101B-9397-08002B2CF9AE}" pid="5" name="Producer">
    <vt:lpwstr>Microsoft® Word 2013</vt:lpwstr>
  </property>
</Properties>
</file>