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A654" w14:textId="03238BB1" w:rsidR="001C6655" w:rsidRDefault="001C6655" w:rsidP="00413098">
      <w:pPr>
        <w:autoSpaceDE w:val="0"/>
        <w:autoSpaceDN w:val="0"/>
        <w:adjustRightInd w:val="0"/>
        <w:jc w:val="both"/>
        <w:rPr>
          <w:rFonts w:cs="Times New Roman"/>
        </w:rPr>
      </w:pPr>
    </w:p>
    <w:p w14:paraId="77433FF6" w14:textId="3378DCCE" w:rsidR="001C6655" w:rsidRDefault="001C6655" w:rsidP="001C6655">
      <w:pPr>
        <w:autoSpaceDE w:val="0"/>
        <w:autoSpaceDN w:val="0"/>
        <w:adjustRightInd w:val="0"/>
        <w:ind w:right="-209"/>
        <w:jc w:val="both"/>
        <w:rPr>
          <w:rFonts w:ascii="Arial" w:hAnsi="Arial" w:cs="Arial"/>
          <w:bCs/>
          <w:i/>
          <w:iCs/>
          <w:color w:val="000000"/>
          <w:sz w:val="20"/>
          <w:szCs w:val="20"/>
          <w:lang w:val="fr-FR"/>
        </w:rPr>
      </w:pPr>
      <w:r>
        <w:rPr>
          <w:rFonts w:ascii="Arial"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6743AA1A" wp14:editId="49286527">
                <wp:simplePos x="0" y="0"/>
                <wp:positionH relativeFrom="margin">
                  <wp:posOffset>2355160</wp:posOffset>
                </wp:positionH>
                <wp:positionV relativeFrom="paragraph">
                  <wp:posOffset>-527685</wp:posOffset>
                </wp:positionV>
                <wp:extent cx="1714500" cy="6191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9125"/>
                        </a:xfrm>
                        <a:prstGeom prst="rect">
                          <a:avLst/>
                        </a:prstGeom>
                        <a:solidFill>
                          <a:srgbClr val="FFFFFF"/>
                        </a:solidFill>
                        <a:ln w="9525">
                          <a:solidFill>
                            <a:schemeClr val="bg1">
                              <a:lumMod val="100000"/>
                              <a:lumOff val="0"/>
                            </a:schemeClr>
                          </a:solidFill>
                          <a:miter lim="800000"/>
                          <a:headEnd/>
                          <a:tailEnd/>
                        </a:ln>
                      </wps:spPr>
                      <wps:txbx>
                        <w:txbxContent>
                          <w:p w14:paraId="6B7C045A" w14:textId="77777777" w:rsidR="001C6655" w:rsidRPr="00422026" w:rsidRDefault="001C6655" w:rsidP="001C6655">
                            <w:pPr>
                              <w:rPr>
                                <w:rFonts w:ascii="Kokila" w:hAnsi="Kokila" w:cs="Kokila"/>
                                <w:b/>
                                <w:i/>
                                <w:sz w:val="44"/>
                                <w:szCs w:val="44"/>
                              </w:rPr>
                            </w:pPr>
                            <w:r w:rsidRPr="00422026">
                              <w:rPr>
                                <w:rFonts w:ascii="Kokila" w:hAnsi="Kokila" w:cs="Kokila"/>
                                <w:b/>
                                <w:bCs/>
                                <w:i/>
                                <w:iCs/>
                                <w:sz w:val="44"/>
                                <w:szCs w:val="44"/>
                                <w:cs/>
                              </w:rPr>
                              <w:t>भारतीयमानक</w:t>
                            </w:r>
                          </w:p>
                          <w:p w14:paraId="0FBFDD45" w14:textId="77777777" w:rsidR="001C6655" w:rsidRPr="00F20963" w:rsidRDefault="001C6655" w:rsidP="001C6655">
                            <w:pPr>
                              <w:rPr>
                                <w:rFonts w:ascii="Arial" w:hAnsi="Arial" w:cs="Arial"/>
                                <w:b/>
                                <w:i/>
                                <w:sz w:val="28"/>
                                <w:szCs w:val="32"/>
                              </w:rPr>
                            </w:pPr>
                            <w:r w:rsidRPr="00F20963">
                              <w:rPr>
                                <w:rFonts w:ascii="Arial" w:hAnsi="Arial" w:cs="Arial"/>
                                <w:b/>
                                <w:i/>
                                <w:sz w:val="28"/>
                                <w:szCs w:val="32"/>
                              </w:rPr>
                              <w:t>Indian Standard</w:t>
                            </w:r>
                          </w:p>
                          <w:p w14:paraId="4E985B2F" w14:textId="77777777" w:rsidR="001C6655" w:rsidRPr="00C536D7" w:rsidRDefault="001C6655" w:rsidP="001C665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AA1A" id="_x0000_t202" coordsize="21600,21600" o:spt="202" path="m,l,21600r21600,l21600,xe">
                <v:stroke joinstyle="miter"/>
                <v:path gradientshapeok="t" o:connecttype="rect"/>
              </v:shapetype>
              <v:shape id="Text Box 20" o:spid="_x0000_s1026" type="#_x0000_t202" style="position:absolute;left:0;text-align:left;margin-left:185.45pt;margin-top:-41.55pt;width:13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" strokecolor="white [3212]">
                <v:textbox>
                  <w:txbxContent>
                    <w:p w14:paraId="6B7C045A" w14:textId="77777777" w:rsidR="001C6655" w:rsidRPr="00422026" w:rsidRDefault="001C6655" w:rsidP="001C6655">
                      <w:pPr>
                        <w:rPr>
                          <w:rFonts w:ascii="Kokila" w:hAnsi="Kokila" w:cs="Kokila"/>
                          <w:b/>
                          <w:i/>
                          <w:sz w:val="44"/>
                          <w:szCs w:val="44"/>
                        </w:rPr>
                      </w:pPr>
                      <w:r w:rsidRPr="00422026">
                        <w:rPr>
                          <w:rFonts w:ascii="Kokila" w:hAnsi="Kokila" w:cs="Kokila"/>
                          <w:b/>
                          <w:bCs/>
                          <w:i/>
                          <w:iCs/>
                          <w:sz w:val="44"/>
                          <w:szCs w:val="44"/>
                          <w:cs/>
                        </w:rPr>
                        <w:t>भारतीयमानक</w:t>
                      </w:r>
                    </w:p>
                    <w:p w14:paraId="0FBFDD45" w14:textId="77777777" w:rsidR="001C6655" w:rsidRPr="00F20963" w:rsidRDefault="001C6655" w:rsidP="001C6655">
                      <w:pPr>
                        <w:rPr>
                          <w:rFonts w:ascii="Arial" w:hAnsi="Arial" w:cs="Arial"/>
                          <w:b/>
                          <w:i/>
                          <w:sz w:val="28"/>
                          <w:szCs w:val="32"/>
                        </w:rPr>
                      </w:pPr>
                      <w:r w:rsidRPr="00F20963">
                        <w:rPr>
                          <w:rFonts w:ascii="Arial" w:hAnsi="Arial" w:cs="Arial"/>
                          <w:b/>
                          <w:i/>
                          <w:sz w:val="28"/>
                          <w:szCs w:val="32"/>
                        </w:rPr>
                        <w:t>Indian Standard</w:t>
                      </w:r>
                    </w:p>
                    <w:p w14:paraId="4E985B2F" w14:textId="77777777" w:rsidR="001C6655" w:rsidRPr="00C536D7" w:rsidRDefault="001C6655" w:rsidP="001C6655">
                      <w:pPr>
                        <w:rPr>
                          <w:b/>
                          <w:i/>
                        </w:rPr>
                      </w:pPr>
                    </w:p>
                  </w:txbxContent>
                </v:textbox>
                <w10:wrap anchorx="margin"/>
              </v:shape>
            </w:pict>
          </mc:Fallback>
        </mc:AlternateContent>
      </w:r>
      <w:r>
        <w:rPr>
          <w:rFonts w:ascii="Arial" w:hAnsi="Arial" w:cs="Arial"/>
          <w:b/>
          <w:color w:val="000000"/>
          <w:lang w:val="fr-FR"/>
        </w:rPr>
        <w:t xml:space="preserve">                                                                                                            </w:t>
      </w:r>
      <w:r w:rsidRPr="00434FB1">
        <w:rPr>
          <w:rFonts w:ascii="Arial" w:hAnsi="Arial" w:cs="Arial"/>
          <w:b/>
          <w:color w:val="000000"/>
          <w:lang w:val="fr-FR"/>
        </w:rPr>
        <w:t xml:space="preserve">IS/IEC </w:t>
      </w:r>
      <w:r w:rsidRPr="003E3519">
        <w:rPr>
          <w:rFonts w:ascii="Arial" w:hAnsi="Arial" w:cs="Arial"/>
          <w:b/>
          <w:color w:val="000000"/>
          <w:lang w:val="fr-FR"/>
        </w:rPr>
        <w:t>62271-20</w:t>
      </w:r>
      <w:r w:rsidR="001F430D">
        <w:rPr>
          <w:rFonts w:ascii="Arial" w:hAnsi="Arial" w:cs="Arial"/>
          <w:b/>
          <w:color w:val="000000"/>
          <w:lang w:val="fr-FR"/>
        </w:rPr>
        <w:t>2</w:t>
      </w:r>
      <w:r w:rsidR="006C36D5">
        <w:rPr>
          <w:rFonts w:ascii="Arial" w:hAnsi="Arial" w:cs="Arial"/>
          <w:b/>
          <w:color w:val="000000"/>
          <w:lang w:val="fr-FR"/>
        </w:rPr>
        <w:t xml:space="preserve"> : 2022</w:t>
      </w:r>
      <w:bookmarkStart w:id="0" w:name="_GoBack"/>
      <w:bookmarkEnd w:id="0"/>
    </w:p>
    <w:p w14:paraId="69F9C8E2" w14:textId="77777777" w:rsidR="001C6655" w:rsidRPr="00CF4653" w:rsidRDefault="001C6655" w:rsidP="001C6655">
      <w:pPr>
        <w:ind w:left="3510"/>
        <w:jc w:val="right"/>
        <w:rPr>
          <w:rFonts w:ascii="Arial" w:hAnsi="Arial" w:cs="Arial"/>
        </w:rPr>
      </w:pPr>
      <w:r>
        <w:rPr>
          <w:rFonts w:ascii="Arial" w:hAnsi="Arial" w:cs="Arial"/>
          <w:noProof/>
          <w:position w:val="-1"/>
          <w:sz w:val="10"/>
          <w:lang w:val="en-US" w:bidi="ar-SA"/>
        </w:rPr>
        <mc:AlternateContent>
          <mc:Choice Requires="wpg">
            <w:drawing>
              <wp:inline distT="0" distB="0" distL="0" distR="0" wp14:anchorId="507C21E4" wp14:editId="452D045D">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310B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E9C8482" w14:textId="77777777" w:rsidR="001C6655" w:rsidRPr="00E65CF1" w:rsidRDefault="001C6655" w:rsidP="001C6655">
      <w:pPr>
        <w:widowControl w:val="0"/>
        <w:tabs>
          <w:tab w:val="left" w:pos="426"/>
        </w:tabs>
        <w:autoSpaceDE w:val="0"/>
        <w:autoSpaceDN w:val="0"/>
        <w:adjustRightInd w:val="0"/>
        <w:rPr>
          <w:rFonts w:ascii="Arial" w:hAnsi="Arial" w:cs="Arial"/>
          <w:iCs/>
          <w:color w:val="222222"/>
          <w:sz w:val="32"/>
          <w:szCs w:val="3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4594331D" w14:textId="77777777" w:rsidR="001C6655" w:rsidRPr="00CA0D0F" w:rsidRDefault="001C6655" w:rsidP="002F3522">
      <w:pPr>
        <w:ind w:left="4395"/>
        <w:jc w:val="both"/>
        <w:rPr>
          <w:rFonts w:ascii="Kokila" w:hAnsi="Kokila" w:cs="Kokila"/>
          <w:b/>
          <w:sz w:val="52"/>
        </w:rPr>
      </w:pPr>
      <w:r>
        <w:rPr>
          <w:rFonts w:ascii="Kokila" w:eastAsia="Malgun Gothic Semilight" w:hAnsi="Kokila" w:cs="Kokila"/>
          <w:b/>
          <w:bCs/>
          <w:sz w:val="52"/>
          <w:szCs w:val="52"/>
        </w:rPr>
        <w:t xml:space="preserve">   </w:t>
      </w:r>
      <w:proofErr w:type="spellStart"/>
      <w:r>
        <w:rPr>
          <w:rFonts w:ascii="Kokila" w:hAnsi="Kokila" w:cs="Kokila"/>
          <w:b/>
          <w:sz w:val="52"/>
        </w:rPr>
        <w:t>उच्च-वोल्टता</w:t>
      </w:r>
      <w:proofErr w:type="spellEnd"/>
      <w:r>
        <w:rPr>
          <w:rFonts w:ascii="Kokila" w:hAnsi="Kokila" w:cs="Kokila"/>
          <w:b/>
          <w:sz w:val="52"/>
        </w:rPr>
        <w:t xml:space="preserve"> </w:t>
      </w:r>
      <w:proofErr w:type="spellStart"/>
      <w:r>
        <w:rPr>
          <w:rFonts w:ascii="Kokila" w:hAnsi="Kokila" w:cs="Kokila"/>
          <w:b/>
          <w:sz w:val="52"/>
        </w:rPr>
        <w:t>के</w:t>
      </w:r>
      <w:proofErr w:type="spellEnd"/>
      <w:r>
        <w:rPr>
          <w:rFonts w:ascii="Kokila" w:hAnsi="Kokila" w:cs="Kokila"/>
          <w:b/>
          <w:sz w:val="52"/>
        </w:rPr>
        <w:t xml:space="preserve"> </w:t>
      </w:r>
      <w:proofErr w:type="spellStart"/>
      <w:r>
        <w:rPr>
          <w:rFonts w:ascii="Kokila" w:hAnsi="Kokila" w:cs="Kokila"/>
          <w:b/>
          <w:sz w:val="52"/>
        </w:rPr>
        <w:t>स्विचगियर</w:t>
      </w:r>
      <w:proofErr w:type="spellEnd"/>
      <w:r>
        <w:rPr>
          <w:rFonts w:ascii="Kokila" w:hAnsi="Kokila" w:cs="Kokila"/>
          <w:b/>
          <w:sz w:val="52"/>
        </w:rPr>
        <w:t xml:space="preserve"> </w:t>
      </w:r>
      <w:proofErr w:type="spellStart"/>
      <w:r>
        <w:rPr>
          <w:rFonts w:ascii="Kokila" w:hAnsi="Kokila" w:cs="Kokila"/>
          <w:b/>
          <w:sz w:val="52"/>
        </w:rPr>
        <w:t>और</w:t>
      </w:r>
      <w:proofErr w:type="spellEnd"/>
    </w:p>
    <w:p w14:paraId="6179A8BD" w14:textId="56D6A686" w:rsidR="001C6655" w:rsidRDefault="001C6655" w:rsidP="002F3522">
      <w:pPr>
        <w:ind w:left="3969"/>
        <w:jc w:val="center"/>
        <w:rPr>
          <w:rFonts w:ascii="Kokila" w:hAnsi="Kokila" w:cs="Kokila"/>
          <w:b/>
          <w:sz w:val="52"/>
        </w:rPr>
      </w:pPr>
      <w:proofErr w:type="spellStart"/>
      <w:r w:rsidRPr="00CA0D0F">
        <w:rPr>
          <w:rFonts w:ascii="Kokila" w:hAnsi="Kokila" w:cs="Kokila"/>
          <w:b/>
          <w:sz w:val="52"/>
        </w:rPr>
        <w:t>नियंत्रणगियर</w:t>
      </w:r>
      <w:proofErr w:type="spellEnd"/>
    </w:p>
    <w:p w14:paraId="252B1892" w14:textId="78184B0D" w:rsidR="00EC3AA8" w:rsidRPr="00EC3AA8" w:rsidRDefault="002F3522" w:rsidP="00EC3AA8">
      <w:pPr>
        <w:ind w:left="4536"/>
        <w:jc w:val="center"/>
        <w:rPr>
          <w:rFonts w:ascii="Kokila" w:hAnsi="Kokila" w:cs="Kokila"/>
          <w:b/>
          <w:sz w:val="44"/>
          <w:szCs w:val="44"/>
        </w:rPr>
      </w:pPr>
      <w:proofErr w:type="spellStart"/>
      <w:r w:rsidRPr="002F3522">
        <w:rPr>
          <w:rFonts w:ascii="Kokila" w:hAnsi="Kokila" w:cs="Kokila"/>
          <w:b/>
          <w:sz w:val="44"/>
        </w:rPr>
        <w:t>भाग</w:t>
      </w:r>
      <w:proofErr w:type="spellEnd"/>
      <w:r w:rsidRPr="002F3522">
        <w:rPr>
          <w:rFonts w:ascii="Kokila" w:hAnsi="Kokila" w:cs="Kokila"/>
          <w:b/>
          <w:sz w:val="44"/>
        </w:rPr>
        <w:t xml:space="preserve"> 202: 1 </w:t>
      </w:r>
      <w:proofErr w:type="spellStart"/>
      <w:r w:rsidRPr="002F3522">
        <w:rPr>
          <w:rFonts w:ascii="Kokila" w:hAnsi="Kokila" w:cs="Kokila"/>
          <w:b/>
          <w:sz w:val="44"/>
        </w:rPr>
        <w:t>केवी</w:t>
      </w:r>
      <w:proofErr w:type="spellEnd"/>
      <w:r w:rsidRPr="002F3522">
        <w:rPr>
          <w:rFonts w:ascii="Kokila" w:hAnsi="Kokila" w:cs="Kokila"/>
          <w:b/>
          <w:sz w:val="44"/>
        </w:rPr>
        <w:t xml:space="preserve"> </w:t>
      </w:r>
      <w:proofErr w:type="spellStart"/>
      <w:r w:rsidRPr="002F3522">
        <w:rPr>
          <w:rFonts w:ascii="Kokila" w:hAnsi="Kokila" w:cs="Kokila"/>
          <w:b/>
          <w:sz w:val="44"/>
        </w:rPr>
        <w:t>से</w:t>
      </w:r>
      <w:proofErr w:type="spellEnd"/>
      <w:r w:rsidRPr="002F3522">
        <w:rPr>
          <w:rFonts w:ascii="Kokila" w:hAnsi="Kokila" w:cs="Kokila"/>
          <w:b/>
          <w:sz w:val="44"/>
        </w:rPr>
        <w:t xml:space="preserve"> </w:t>
      </w:r>
      <w:proofErr w:type="spellStart"/>
      <w:r w:rsidRPr="002F3522">
        <w:rPr>
          <w:rFonts w:ascii="Kokila" w:hAnsi="Kokila" w:cs="Kokila"/>
          <w:b/>
          <w:sz w:val="44"/>
        </w:rPr>
        <w:t>ऊपर</w:t>
      </w:r>
      <w:proofErr w:type="spellEnd"/>
      <w:r w:rsidRPr="002F3522">
        <w:rPr>
          <w:rFonts w:ascii="Kokila" w:hAnsi="Kokila" w:cs="Kokila"/>
          <w:b/>
          <w:sz w:val="44"/>
        </w:rPr>
        <w:t xml:space="preserve"> </w:t>
      </w:r>
      <w:proofErr w:type="spellStart"/>
      <w:r w:rsidRPr="002F3522">
        <w:rPr>
          <w:rFonts w:ascii="Kokila" w:hAnsi="Kokila" w:cs="Kokila"/>
          <w:b/>
          <w:sz w:val="44"/>
        </w:rPr>
        <w:t>और</w:t>
      </w:r>
      <w:proofErr w:type="spellEnd"/>
      <w:r w:rsidRPr="002F3522">
        <w:rPr>
          <w:rFonts w:ascii="Kokila" w:hAnsi="Kokila" w:cs="Kokila"/>
          <w:b/>
          <w:sz w:val="44"/>
        </w:rPr>
        <w:t xml:space="preserve"> 52 </w:t>
      </w:r>
      <w:proofErr w:type="spellStart"/>
      <w:r w:rsidRPr="002F3522">
        <w:rPr>
          <w:rFonts w:ascii="Kokila" w:hAnsi="Kokila" w:cs="Kokila"/>
          <w:b/>
          <w:sz w:val="44"/>
        </w:rPr>
        <w:t>केवी</w:t>
      </w:r>
      <w:proofErr w:type="spellEnd"/>
      <w:r w:rsidRPr="002F3522">
        <w:rPr>
          <w:rFonts w:ascii="Kokila" w:hAnsi="Kokila" w:cs="Kokila"/>
          <w:b/>
          <w:sz w:val="44"/>
        </w:rPr>
        <w:t xml:space="preserve"> </w:t>
      </w:r>
      <w:proofErr w:type="spellStart"/>
      <w:r w:rsidRPr="002F3522">
        <w:rPr>
          <w:rFonts w:ascii="Kokila" w:hAnsi="Kokila" w:cs="Kokila"/>
          <w:b/>
          <w:sz w:val="44"/>
        </w:rPr>
        <w:t>तक</w:t>
      </w:r>
      <w:proofErr w:type="spellEnd"/>
      <w:r w:rsidRPr="002F3522">
        <w:rPr>
          <w:rFonts w:ascii="Kokila" w:hAnsi="Kokila" w:cs="Kokila"/>
          <w:b/>
          <w:sz w:val="44"/>
        </w:rPr>
        <w:t xml:space="preserve"> </w:t>
      </w:r>
      <w:proofErr w:type="spellStart"/>
      <w:r w:rsidRPr="002F3522">
        <w:rPr>
          <w:rFonts w:ascii="Kokila" w:hAnsi="Kokila" w:cs="Kokila"/>
          <w:b/>
          <w:sz w:val="44"/>
        </w:rPr>
        <w:t>के</w:t>
      </w:r>
      <w:proofErr w:type="spellEnd"/>
      <w:r w:rsidRPr="002F3522">
        <w:rPr>
          <w:rFonts w:ascii="Kokila" w:hAnsi="Kokila" w:cs="Kokila"/>
          <w:b/>
          <w:sz w:val="44"/>
        </w:rPr>
        <w:t xml:space="preserve"> </w:t>
      </w:r>
      <w:proofErr w:type="spellStart"/>
      <w:r w:rsidRPr="002F3522">
        <w:rPr>
          <w:rFonts w:ascii="Kokila" w:hAnsi="Kokila" w:cs="Kokila"/>
          <w:b/>
          <w:sz w:val="44"/>
        </w:rPr>
        <w:t>लिए</w:t>
      </w:r>
      <w:proofErr w:type="spellEnd"/>
      <w:r w:rsidRPr="002F3522">
        <w:rPr>
          <w:rFonts w:ascii="Kokila" w:hAnsi="Kokila" w:cs="Kokila"/>
          <w:b/>
          <w:sz w:val="44"/>
        </w:rPr>
        <w:t xml:space="preserve"> </w:t>
      </w:r>
      <w:proofErr w:type="spellStart"/>
      <w:r w:rsidRPr="002F3522">
        <w:rPr>
          <w:rFonts w:ascii="Kokila" w:hAnsi="Kokila" w:cs="Kokila"/>
          <w:b/>
          <w:sz w:val="44"/>
        </w:rPr>
        <w:t>रेटित</w:t>
      </w:r>
      <w:proofErr w:type="spellEnd"/>
      <w:r w:rsidRPr="002F3522">
        <w:rPr>
          <w:rFonts w:ascii="Kokila" w:hAnsi="Kokila" w:cs="Kokila"/>
          <w:b/>
          <w:sz w:val="44"/>
        </w:rPr>
        <w:t xml:space="preserve"> </w:t>
      </w:r>
      <w:proofErr w:type="spellStart"/>
      <w:r w:rsidRPr="002F3522">
        <w:rPr>
          <w:rFonts w:ascii="Kokila" w:hAnsi="Kokila" w:cs="Kokila"/>
          <w:b/>
          <w:sz w:val="44"/>
        </w:rPr>
        <w:t>वोल्टता</w:t>
      </w:r>
      <w:proofErr w:type="spellEnd"/>
      <w:r w:rsidRPr="002F3522">
        <w:rPr>
          <w:rFonts w:ascii="Kokila" w:hAnsi="Kokila" w:cs="Kokila"/>
          <w:b/>
          <w:sz w:val="44"/>
        </w:rPr>
        <w:t xml:space="preserve"> </w:t>
      </w:r>
      <w:proofErr w:type="spellStart"/>
      <w:r w:rsidRPr="00EC3AA8">
        <w:rPr>
          <w:rFonts w:ascii="Kokila" w:hAnsi="Kokila" w:cs="Kokila"/>
          <w:b/>
          <w:sz w:val="44"/>
          <w:szCs w:val="44"/>
        </w:rPr>
        <w:t>हेतु</w:t>
      </w:r>
      <w:proofErr w:type="spellEnd"/>
      <w:r w:rsidRPr="00EC3AA8">
        <w:rPr>
          <w:rFonts w:ascii="Kokila" w:hAnsi="Kokila" w:cs="Kokila"/>
          <w:b/>
          <w:sz w:val="44"/>
          <w:szCs w:val="44"/>
        </w:rPr>
        <w:t xml:space="preserve"> </w:t>
      </w:r>
      <w:r w:rsidR="00EC3AA8" w:rsidRPr="00EC3AA8">
        <w:rPr>
          <w:rFonts w:ascii="Kokila" w:hAnsi="Kokila" w:cs="Kokila" w:hint="cs"/>
          <w:b/>
          <w:sz w:val="44"/>
          <w:szCs w:val="44"/>
          <w:cs/>
        </w:rPr>
        <w:t>ए.सी</w:t>
      </w:r>
      <w:r w:rsidR="00C56FF7">
        <w:rPr>
          <w:rFonts w:ascii="Kokila" w:hAnsi="Kokila" w:cs="Kokila" w:hint="cs"/>
          <w:b/>
          <w:sz w:val="44"/>
          <w:szCs w:val="44"/>
          <w:cs/>
        </w:rPr>
        <w:t>.</w:t>
      </w:r>
    </w:p>
    <w:p w14:paraId="0D28E7F2" w14:textId="0AA4D49C" w:rsidR="00EC3AA8" w:rsidRPr="00EC3AA8" w:rsidRDefault="00EC3AA8" w:rsidP="00EC3AA8">
      <w:pPr>
        <w:ind w:left="4536"/>
        <w:jc w:val="center"/>
        <w:rPr>
          <w:rFonts w:ascii="Kokila" w:hAnsi="Kokila" w:cs="Kokila"/>
          <w:b/>
          <w:sz w:val="44"/>
        </w:rPr>
      </w:pPr>
      <w:r w:rsidRPr="00EC3AA8">
        <w:rPr>
          <w:rFonts w:ascii="Kokila" w:hAnsi="Kokila" w:cs="Kokila"/>
          <w:b/>
          <w:sz w:val="44"/>
        </w:rPr>
        <w:t>पूर्व संरचित उप-विद्युत केन्द्र</w:t>
      </w:r>
    </w:p>
    <w:p w14:paraId="03BF54E0" w14:textId="6667DA97" w:rsidR="001C6655" w:rsidRPr="002F3522" w:rsidRDefault="00FC5200" w:rsidP="00FC4178">
      <w:pPr>
        <w:ind w:left="4395"/>
        <w:jc w:val="center"/>
        <w:rPr>
          <w:rFonts w:ascii="Kokila" w:hAnsi="Kokila" w:cs="Kokila"/>
          <w:b/>
          <w:sz w:val="40"/>
        </w:rPr>
      </w:pPr>
      <w:r w:rsidRPr="00FC5200">
        <w:rPr>
          <w:rFonts w:ascii="Kokila" w:hAnsi="Kokila" w:cs="Kokila"/>
          <w:b/>
          <w:sz w:val="40"/>
        </w:rPr>
        <w:t>(</w:t>
      </w:r>
      <w:proofErr w:type="spellStart"/>
      <w:r w:rsidR="002F3522" w:rsidRPr="00FC5200">
        <w:rPr>
          <w:rFonts w:ascii="Kokila" w:hAnsi="Kokila" w:cs="Kokila"/>
          <w:b/>
          <w:i/>
          <w:sz w:val="40"/>
        </w:rPr>
        <w:t>पहला</w:t>
      </w:r>
      <w:proofErr w:type="spellEnd"/>
      <w:r w:rsidR="002F3522" w:rsidRPr="00FC5200">
        <w:rPr>
          <w:rFonts w:ascii="Kokila" w:hAnsi="Kokila" w:cs="Kokila"/>
          <w:b/>
          <w:i/>
          <w:sz w:val="40"/>
        </w:rPr>
        <w:t xml:space="preserve"> </w:t>
      </w:r>
      <w:proofErr w:type="spellStart"/>
      <w:r w:rsidR="002F3522" w:rsidRPr="00FC5200">
        <w:rPr>
          <w:rFonts w:ascii="Kokila" w:hAnsi="Kokila" w:cs="Kokila"/>
          <w:b/>
          <w:i/>
          <w:sz w:val="40"/>
        </w:rPr>
        <w:t>पुनरीक्षण</w:t>
      </w:r>
      <w:proofErr w:type="spellEnd"/>
      <w:r w:rsidR="002F3522" w:rsidRPr="00FC5200">
        <w:rPr>
          <w:rFonts w:ascii="Kokila" w:hAnsi="Kokila" w:cs="Kokila"/>
          <w:b/>
          <w:sz w:val="40"/>
        </w:rPr>
        <w:t>)</w:t>
      </w:r>
    </w:p>
    <w:p w14:paraId="44534D76" w14:textId="77777777" w:rsidR="001C6655" w:rsidRDefault="001C6655" w:rsidP="001C6655">
      <w:pPr>
        <w:ind w:left="3828"/>
        <w:jc w:val="center"/>
        <w:rPr>
          <w:rFonts w:ascii="Arial" w:eastAsiaTheme="minorHAnsi" w:hAnsi="Arial" w:cs="Arial"/>
          <w:b/>
          <w:sz w:val="36"/>
        </w:rPr>
      </w:pPr>
    </w:p>
    <w:p w14:paraId="4ACF8228" w14:textId="77777777" w:rsidR="001C6655" w:rsidRPr="001C6655" w:rsidRDefault="001C6655" w:rsidP="002F3522">
      <w:pPr>
        <w:ind w:left="3828"/>
        <w:jc w:val="center"/>
        <w:rPr>
          <w:rFonts w:ascii="Arial" w:eastAsiaTheme="minorHAnsi" w:hAnsi="Arial" w:cs="Arial"/>
          <w:b/>
          <w:sz w:val="36"/>
        </w:rPr>
      </w:pPr>
      <w:r w:rsidRPr="001C6655">
        <w:rPr>
          <w:rFonts w:ascii="Arial" w:eastAsiaTheme="minorHAnsi" w:hAnsi="Arial" w:cs="Arial"/>
          <w:b/>
          <w:sz w:val="36"/>
        </w:rPr>
        <w:t xml:space="preserve">High-voltage switchgear and </w:t>
      </w:r>
      <w:proofErr w:type="spellStart"/>
      <w:r w:rsidRPr="001C6655">
        <w:rPr>
          <w:rFonts w:ascii="Arial" w:eastAsiaTheme="minorHAnsi" w:hAnsi="Arial" w:cs="Arial"/>
          <w:b/>
          <w:sz w:val="36"/>
        </w:rPr>
        <w:t>controlgear</w:t>
      </w:r>
      <w:proofErr w:type="spellEnd"/>
      <w:r w:rsidRPr="001C6655">
        <w:rPr>
          <w:rFonts w:ascii="Arial" w:eastAsiaTheme="minorHAnsi" w:hAnsi="Arial" w:cs="Arial"/>
          <w:b/>
          <w:sz w:val="36"/>
        </w:rPr>
        <w:t xml:space="preserve"> </w:t>
      </w:r>
    </w:p>
    <w:p w14:paraId="15C10DA7" w14:textId="77777777" w:rsidR="001C6655" w:rsidRPr="003B6430" w:rsidRDefault="001C6655" w:rsidP="002F3522">
      <w:pPr>
        <w:ind w:left="3402"/>
        <w:jc w:val="center"/>
        <w:rPr>
          <w:rFonts w:ascii="Arial" w:eastAsiaTheme="minorHAnsi" w:hAnsi="Arial" w:cs="Arial"/>
          <w:b/>
          <w:sz w:val="18"/>
          <w:szCs w:val="18"/>
        </w:rPr>
      </w:pPr>
    </w:p>
    <w:p w14:paraId="0C8DCAC5" w14:textId="77777777" w:rsidR="001C6655" w:rsidRPr="001C6655" w:rsidRDefault="001C6655" w:rsidP="002F3522">
      <w:pPr>
        <w:autoSpaceDE w:val="0"/>
        <w:autoSpaceDN w:val="0"/>
        <w:adjustRightInd w:val="0"/>
        <w:ind w:left="3686"/>
        <w:jc w:val="center"/>
        <w:rPr>
          <w:rFonts w:ascii="Arial" w:eastAsiaTheme="minorHAnsi" w:hAnsi="Arial" w:cs="Arial"/>
          <w:b/>
          <w:bCs/>
          <w:sz w:val="32"/>
          <w:lang w:val="en-US" w:bidi="ar-SA"/>
        </w:rPr>
      </w:pPr>
      <w:r w:rsidRPr="001C6655">
        <w:rPr>
          <w:rFonts w:ascii="Arial" w:eastAsiaTheme="minorHAnsi" w:hAnsi="Arial" w:cs="Arial"/>
          <w:b/>
          <w:bCs/>
          <w:sz w:val="32"/>
          <w:lang w:val="en-US" w:bidi="ar-SA"/>
        </w:rPr>
        <w:t>Part 202: AC prefabricated substations for rated voltages above 1 kV and up to and including 52 kV</w:t>
      </w:r>
    </w:p>
    <w:p w14:paraId="18882B36" w14:textId="77777777" w:rsidR="001C6655" w:rsidRDefault="001C6655" w:rsidP="002F3522">
      <w:pPr>
        <w:autoSpaceDE w:val="0"/>
        <w:autoSpaceDN w:val="0"/>
        <w:adjustRightInd w:val="0"/>
        <w:ind w:left="3402"/>
        <w:jc w:val="center"/>
        <w:rPr>
          <w:rFonts w:eastAsiaTheme="minorHAnsi" w:cs="Times New Roman"/>
          <w:b/>
          <w:bCs/>
          <w:lang w:val="en-US" w:bidi="ar-SA"/>
        </w:rPr>
      </w:pPr>
    </w:p>
    <w:p w14:paraId="36A8AEF9" w14:textId="083FF434" w:rsidR="001C6655" w:rsidRPr="001C6655" w:rsidRDefault="001C6655" w:rsidP="002F3522">
      <w:pPr>
        <w:autoSpaceDE w:val="0"/>
        <w:autoSpaceDN w:val="0"/>
        <w:adjustRightInd w:val="0"/>
        <w:ind w:left="3969"/>
        <w:jc w:val="center"/>
        <w:rPr>
          <w:rFonts w:ascii="Arial" w:eastAsiaTheme="minorHAnsi" w:hAnsi="Arial" w:cs="Arial"/>
          <w:b/>
          <w:bCs/>
          <w:lang w:val="en-US" w:bidi="ar-SA"/>
        </w:rPr>
      </w:pPr>
      <w:r w:rsidRPr="001C6655">
        <w:rPr>
          <w:rFonts w:ascii="Arial" w:eastAsiaTheme="minorHAnsi" w:hAnsi="Arial" w:cs="Arial"/>
          <w:b/>
          <w:bCs/>
          <w:sz w:val="28"/>
          <w:lang w:val="en-US" w:bidi="ar-SA"/>
        </w:rPr>
        <w:t xml:space="preserve"> (</w:t>
      </w:r>
      <w:r w:rsidRPr="001C6655">
        <w:rPr>
          <w:rFonts w:ascii="Arial" w:eastAsiaTheme="minorHAnsi" w:hAnsi="Arial" w:cs="Arial"/>
          <w:b/>
          <w:bCs/>
          <w:i/>
          <w:sz w:val="28"/>
          <w:lang w:val="en-US" w:bidi="ar-SA"/>
        </w:rPr>
        <w:t>First Revision</w:t>
      </w:r>
      <w:r w:rsidRPr="001C6655">
        <w:rPr>
          <w:rFonts w:ascii="Arial" w:eastAsiaTheme="minorHAnsi" w:hAnsi="Arial" w:cs="Arial"/>
          <w:b/>
          <w:bCs/>
          <w:sz w:val="28"/>
          <w:lang w:val="en-US" w:bidi="ar-SA"/>
        </w:rPr>
        <w:t>)</w:t>
      </w:r>
    </w:p>
    <w:p w14:paraId="61D212AE" w14:textId="77777777" w:rsidR="001C6655" w:rsidRDefault="001C6655" w:rsidP="001C6655">
      <w:pPr>
        <w:autoSpaceDE w:val="0"/>
        <w:autoSpaceDN w:val="0"/>
        <w:adjustRightInd w:val="0"/>
        <w:spacing w:line="276" w:lineRule="auto"/>
        <w:ind w:left="4111"/>
        <w:jc w:val="center"/>
        <w:rPr>
          <w:rFonts w:ascii="Arial" w:eastAsiaTheme="minorHAnsi" w:hAnsi="Arial" w:cs="Arial"/>
          <w:b/>
          <w:bCs/>
          <w:sz w:val="28"/>
          <w:szCs w:val="28"/>
          <w:lang w:val="en-US" w:bidi="ar-SA"/>
        </w:rPr>
      </w:pPr>
    </w:p>
    <w:p w14:paraId="14FF43DA" w14:textId="77777777" w:rsidR="001C6655" w:rsidRDefault="001C6655" w:rsidP="001C6655">
      <w:pPr>
        <w:ind w:left="3544" w:firstLine="416"/>
        <w:jc w:val="center"/>
        <w:rPr>
          <w:rFonts w:ascii="Arial" w:eastAsiaTheme="minorHAnsi" w:hAnsi="Arial" w:cs="Arial"/>
          <w:b/>
          <w:bCs/>
          <w:color w:val="000000" w:themeColor="text1"/>
          <w:sz w:val="28"/>
          <w:szCs w:val="22"/>
          <w:lang w:val="en-US" w:bidi="ar-SA"/>
        </w:rPr>
      </w:pPr>
    </w:p>
    <w:p w14:paraId="1FDAB9CB" w14:textId="77777777" w:rsidR="001C6655" w:rsidRDefault="001C6655" w:rsidP="001C6655">
      <w:pPr>
        <w:ind w:left="3544" w:firstLine="416"/>
        <w:jc w:val="center"/>
        <w:rPr>
          <w:rFonts w:ascii="Arial" w:eastAsiaTheme="minorHAnsi" w:hAnsi="Arial" w:cs="Arial"/>
          <w:b/>
          <w:bCs/>
          <w:color w:val="000000" w:themeColor="text1"/>
          <w:sz w:val="28"/>
          <w:szCs w:val="22"/>
          <w:lang w:val="en-US" w:bidi="ar-SA"/>
        </w:rPr>
      </w:pPr>
    </w:p>
    <w:p w14:paraId="166184E0" w14:textId="77777777" w:rsidR="00332CB0" w:rsidRPr="008D4B9C" w:rsidRDefault="00332CB0" w:rsidP="00332CB0">
      <w:pPr>
        <w:autoSpaceDE w:val="0"/>
        <w:autoSpaceDN w:val="0"/>
        <w:adjustRightInd w:val="0"/>
        <w:ind w:left="3686"/>
        <w:jc w:val="center"/>
        <w:rPr>
          <w:rFonts w:eastAsiaTheme="minorHAnsi" w:cs="Times New Roman"/>
          <w:bCs/>
          <w:lang w:val="en-US" w:bidi="ar-SA"/>
        </w:rPr>
      </w:pPr>
      <w:r w:rsidRPr="008D4B9C">
        <w:rPr>
          <w:rFonts w:eastAsiaTheme="minorHAnsi" w:cs="Times New Roman"/>
          <w:bCs/>
          <w:lang w:val="en-US" w:bidi="ar-SA"/>
        </w:rPr>
        <w:t>ICS 29.130.10</w:t>
      </w:r>
    </w:p>
    <w:p w14:paraId="6921ECE8" w14:textId="77777777" w:rsidR="001C6655" w:rsidRDefault="001C6655" w:rsidP="001C6655">
      <w:pPr>
        <w:ind w:left="3544" w:firstLine="416"/>
        <w:jc w:val="center"/>
      </w:pPr>
    </w:p>
    <w:p w14:paraId="558A631C" w14:textId="77777777" w:rsidR="001C6655" w:rsidRDefault="001C6655" w:rsidP="001C6655"/>
    <w:p w14:paraId="3909196A" w14:textId="77777777" w:rsidR="001C6655" w:rsidRDefault="001C6655" w:rsidP="001C6655">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2D20D518" w14:textId="77777777" w:rsidR="001C6655" w:rsidRDefault="001C6655" w:rsidP="001C6655">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w:t>
      </w:r>
      <w:r>
        <w:rPr>
          <w:rFonts w:ascii="Arial" w:hAnsi="Arial" w:cs="Arial"/>
        </w:rPr>
        <w:t>2009</w:t>
      </w:r>
    </w:p>
    <w:p w14:paraId="5F9BCE89" w14:textId="77777777" w:rsidR="001C6655" w:rsidRPr="00CF4653" w:rsidRDefault="001C6655" w:rsidP="001C6655">
      <w:pPr>
        <w:spacing w:after="120"/>
        <w:ind w:left="3510"/>
        <w:jc w:val="center"/>
        <w:rPr>
          <w:rFonts w:ascii="Arial" w:hAnsi="Arial" w:cs="Arial"/>
        </w:rPr>
      </w:pPr>
      <w:r>
        <w:rPr>
          <w:rFonts w:ascii="Arial" w:hAnsi="Arial" w:cs="Arial"/>
        </w:rPr>
        <w:t xml:space="preserve">  </w:t>
      </w:r>
      <w:r>
        <w:rPr>
          <w:noProof/>
          <w:lang w:val="en-US" w:bidi="ar-SA"/>
        </w:rPr>
        <w:drawing>
          <wp:inline distT="0" distB="0" distL="0" distR="0" wp14:anchorId="6B0D4A23" wp14:editId="77E1FF32">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Arial" w:hAnsi="Arial" w:cs="Arial"/>
        </w:rPr>
        <w:t xml:space="preserve">  </w:t>
      </w:r>
    </w:p>
    <w:p w14:paraId="774F4F48" w14:textId="77777777" w:rsidR="001C6655" w:rsidRPr="00CF4653" w:rsidRDefault="001C6655" w:rsidP="001C6655">
      <w:pPr>
        <w:ind w:left="3510"/>
        <w:jc w:val="center"/>
        <w:rPr>
          <w:rFonts w:ascii="Arial" w:hAnsi="Arial" w:cs="Arial"/>
        </w:rPr>
      </w:pPr>
      <w:r>
        <w:rPr>
          <w:rFonts w:ascii="Arial" w:hAnsi="Arial" w:cs="Arial"/>
          <w:noProof/>
          <w:position w:val="-1"/>
          <w:sz w:val="10"/>
          <w:lang w:val="en-US" w:bidi="ar-SA"/>
        </w:rPr>
        <mc:AlternateContent>
          <mc:Choice Requires="wpg">
            <w:drawing>
              <wp:inline distT="0" distB="0" distL="0" distR="0" wp14:anchorId="34082351" wp14:editId="373FA189">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3088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8A1847A" w14:textId="77777777" w:rsidR="001C6655" w:rsidRPr="00B616F9" w:rsidRDefault="001C6655" w:rsidP="001C6655">
      <w:pPr>
        <w:ind w:left="3510"/>
        <w:jc w:val="both"/>
        <w:rPr>
          <w:rFonts w:ascii="Arial" w:hAnsi="Arial" w:cs="Arial"/>
          <w:sz w:val="18"/>
          <w:szCs w:val="18"/>
        </w:rPr>
      </w:pPr>
    </w:p>
    <w:p w14:paraId="276417F6" w14:textId="77777777" w:rsidR="001C6655" w:rsidRPr="008345F0" w:rsidRDefault="00B52EC5" w:rsidP="001C6655">
      <w:pPr>
        <w:ind w:left="4860"/>
        <w:jc w:val="center"/>
        <w:rPr>
          <w:rFonts w:ascii="Kokila" w:hAnsi="Kokila" w:cs="Kokila"/>
          <w:b/>
          <w:bCs/>
          <w:caps/>
        </w:rPr>
      </w:pPr>
      <w:r>
        <w:rPr>
          <w:rFonts w:ascii="Kokila" w:hAnsi="Kokila" w:cs="Kokila"/>
          <w:sz w:val="28"/>
          <w:szCs w:val="28"/>
          <w:lang w:bidi="ar-SA"/>
        </w:rPr>
        <w:object w:dxaOrig="1440" w:dyaOrig="1440" w14:anchorId="2EF6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4142780" r:id="rId9"/>
        </w:object>
      </w:r>
      <w:r w:rsidR="001C6655" w:rsidRPr="008345F0">
        <w:rPr>
          <w:rFonts w:ascii="Kokila" w:hAnsi="Kokila" w:cs="Kokila"/>
          <w:caps/>
          <w:sz w:val="28"/>
          <w:szCs w:val="28"/>
          <w:cs/>
        </w:rPr>
        <w:t>भारतीय मानक ब्यूरो</w:t>
      </w:r>
    </w:p>
    <w:p w14:paraId="45F7F176" w14:textId="77777777" w:rsidR="001C6655" w:rsidRPr="00CF4653" w:rsidRDefault="001C6655" w:rsidP="001C6655">
      <w:pPr>
        <w:autoSpaceDE w:val="0"/>
        <w:autoSpaceDN w:val="0"/>
        <w:adjustRightInd w:val="0"/>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53F72571" w14:textId="77777777" w:rsidR="001C6655" w:rsidRPr="00042B11" w:rsidRDefault="001C6655" w:rsidP="001C6655">
      <w:pPr>
        <w:ind w:left="4860"/>
        <w:jc w:val="center"/>
        <w:rPr>
          <w:rFonts w:ascii="Kokila" w:hAnsi="Kokila" w:cs="Kokila"/>
          <w:b/>
          <w:bCs/>
          <w:color w:val="231F20"/>
          <w:spacing w:val="22"/>
          <w:sz w:val="20"/>
          <w:szCs w:val="20"/>
        </w:rPr>
      </w:pPr>
      <w:r w:rsidRPr="00042B11">
        <w:rPr>
          <w:rFonts w:ascii="Kokila" w:hAnsi="Kokila" w:cs="Kokila"/>
          <w:caps/>
          <w:sz w:val="20"/>
          <w:szCs w:val="20"/>
          <w:cs/>
        </w:rPr>
        <w:t>मानक भवन</w:t>
      </w:r>
      <w:r w:rsidRPr="00042B11">
        <w:rPr>
          <w:rFonts w:ascii="Kokila" w:hAnsi="Kokila" w:cs="Kokila"/>
          <w:caps/>
          <w:sz w:val="20"/>
          <w:szCs w:val="20"/>
        </w:rPr>
        <w:t xml:space="preserve">, 9 </w:t>
      </w:r>
      <w:r w:rsidRPr="00042B11">
        <w:rPr>
          <w:rFonts w:ascii="Kokila" w:hAnsi="Kokila" w:cs="Kokila"/>
          <w:caps/>
          <w:sz w:val="20"/>
          <w:szCs w:val="20"/>
          <w:cs/>
        </w:rPr>
        <w:t>बहादुर शाह ज़फर मार्ग</w:t>
      </w:r>
      <w:r w:rsidRPr="00042B11">
        <w:rPr>
          <w:rFonts w:ascii="Kokila" w:hAnsi="Kokila" w:cs="Kokila"/>
          <w:caps/>
          <w:sz w:val="20"/>
          <w:szCs w:val="20"/>
        </w:rPr>
        <w:t xml:space="preserve">, </w:t>
      </w:r>
      <w:r w:rsidRPr="00042B11">
        <w:rPr>
          <w:rFonts w:ascii="Kokila" w:hAnsi="Kokila" w:cs="Kokila"/>
          <w:caps/>
          <w:sz w:val="20"/>
          <w:szCs w:val="20"/>
          <w:cs/>
        </w:rPr>
        <w:t>नई दिल्ली -</w:t>
      </w:r>
      <w:r w:rsidRPr="00042B11">
        <w:rPr>
          <w:rFonts w:ascii="Kokila" w:hAnsi="Kokila" w:cs="Kokila"/>
          <w:caps/>
          <w:sz w:val="20"/>
          <w:szCs w:val="20"/>
          <w:rtl/>
          <w:cs/>
        </w:rPr>
        <w:t xml:space="preserve"> </w:t>
      </w:r>
      <w:r w:rsidRPr="00042B11">
        <w:rPr>
          <w:rFonts w:ascii="Kokila" w:hAnsi="Kokila" w:cs="Kokila"/>
          <w:bCs/>
          <w:caps/>
          <w:sz w:val="20"/>
          <w:szCs w:val="20"/>
        </w:rPr>
        <w:t>110002</w:t>
      </w:r>
    </w:p>
    <w:p w14:paraId="4B643744" w14:textId="77777777" w:rsidR="001C6655" w:rsidRPr="00CF4653" w:rsidRDefault="001C6655" w:rsidP="001C6655">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MANAK BHAVAN, 9 BAHADUR SHAH ZAFAR MARG</w:t>
      </w:r>
    </w:p>
    <w:p w14:paraId="5EA91606" w14:textId="77777777" w:rsidR="001C6655" w:rsidRPr="00CF4653" w:rsidRDefault="001C6655" w:rsidP="001C6655">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7BEDAB8" w14:textId="77777777" w:rsidR="001C6655" w:rsidRPr="00CF4653" w:rsidRDefault="001C6655" w:rsidP="001C6655">
      <w:pPr>
        <w:ind w:left="4860"/>
        <w:jc w:val="center"/>
        <w:rPr>
          <w:rFonts w:ascii="Arial" w:hAnsi="Arial" w:cs="Arial"/>
          <w:sz w:val="20"/>
        </w:rPr>
      </w:pPr>
      <w:r w:rsidRPr="00D94A29">
        <w:rPr>
          <w:rFonts w:ascii="Arial" w:eastAsiaTheme="minorHAnsi" w:hAnsi="Arial" w:cs="Arial"/>
          <w:color w:val="0000FF"/>
          <w:u w:val="single"/>
        </w:rPr>
        <w:t>www.bis.gov.in</w:t>
      </w:r>
      <w:r w:rsidRPr="00CF4653">
        <w:rPr>
          <w:rFonts w:ascii="Arial" w:hAnsi="Arial" w:cs="Arial"/>
          <w:sz w:val="20"/>
        </w:rPr>
        <w:t xml:space="preserve">     </w:t>
      </w:r>
      <w:r w:rsidRPr="00D94A29">
        <w:rPr>
          <w:rFonts w:ascii="Arial" w:eastAsiaTheme="minorHAnsi" w:hAnsi="Arial" w:cs="Arial"/>
          <w:color w:val="0000FF"/>
          <w:u w:val="single"/>
        </w:rPr>
        <w:t>www.standardsbis.in</w:t>
      </w:r>
    </w:p>
    <w:p w14:paraId="0FD985F6" w14:textId="77777777" w:rsidR="001C6655" w:rsidRDefault="001C6655" w:rsidP="001C6655">
      <w:pPr>
        <w:ind w:left="1440" w:firstLine="720"/>
        <w:rPr>
          <w:rFonts w:ascii="Arial" w:hAnsi="Arial" w:cs="Arial"/>
        </w:rPr>
      </w:pPr>
    </w:p>
    <w:p w14:paraId="26F4DBED" w14:textId="77777777" w:rsidR="001C6655" w:rsidRDefault="001C6655" w:rsidP="001C6655">
      <w:pPr>
        <w:ind w:left="2880" w:firstLine="720"/>
        <w:rPr>
          <w:rFonts w:ascii="Arial" w:hAnsi="Arial" w:cs="Arial"/>
          <w:b/>
          <w:bCs/>
          <w:iCs/>
        </w:rPr>
      </w:pPr>
    </w:p>
    <w:p w14:paraId="1AA5D75C" w14:textId="77777777" w:rsidR="001C6655" w:rsidRDefault="001C6655" w:rsidP="001C6655">
      <w:pPr>
        <w:ind w:left="4253"/>
        <w:rPr>
          <w:rFonts w:ascii="Arial" w:hAnsi="Arial" w:cs="Arial"/>
          <w:b/>
          <w:bCs/>
        </w:rPr>
      </w:pPr>
      <w:r>
        <w:rPr>
          <w:rFonts w:ascii="Arial" w:hAnsi="Arial" w:cs="Arial"/>
          <w:b/>
          <w:bCs/>
          <w:iCs/>
        </w:rPr>
        <w:t xml:space="preserve">November </w:t>
      </w:r>
      <w:r w:rsidRPr="00CF4653">
        <w:rPr>
          <w:rFonts w:ascii="Arial" w:hAnsi="Arial" w:cs="Arial"/>
          <w:b/>
          <w:bCs/>
        </w:rPr>
        <w:t>202</w:t>
      </w:r>
      <w:r>
        <w:rPr>
          <w:rFonts w:ascii="Arial" w:hAnsi="Arial" w:cs="Arial"/>
          <w:b/>
          <w:bCs/>
        </w:rPr>
        <w:t>4                                    Price Group X</w:t>
      </w:r>
    </w:p>
    <w:p w14:paraId="05B2C525" w14:textId="77777777" w:rsidR="001C6655" w:rsidRDefault="001C6655">
      <w:pPr>
        <w:spacing w:after="160" w:line="259" w:lineRule="auto"/>
        <w:rPr>
          <w:rFonts w:cs="Times New Roman"/>
        </w:rPr>
      </w:pPr>
    </w:p>
    <w:p w14:paraId="2368B63A" w14:textId="77777777" w:rsidR="00413098" w:rsidRDefault="00413098" w:rsidP="00413098">
      <w:pPr>
        <w:autoSpaceDE w:val="0"/>
        <w:autoSpaceDN w:val="0"/>
        <w:adjustRightInd w:val="0"/>
        <w:jc w:val="both"/>
        <w:rPr>
          <w:rFonts w:cs="Times New Roman"/>
        </w:rPr>
      </w:pPr>
    </w:p>
    <w:p w14:paraId="1B522EF4" w14:textId="77777777" w:rsidR="001C6655" w:rsidRDefault="001C6655" w:rsidP="00AA6D04">
      <w:pPr>
        <w:ind w:left="7371"/>
        <w:rPr>
          <w:rFonts w:cs="Times New Roman"/>
          <w:b/>
          <w:bCs/>
          <w:lang w:val="en-AU"/>
        </w:rPr>
      </w:pPr>
    </w:p>
    <w:p w14:paraId="3F8ACB8D" w14:textId="77777777" w:rsidR="001C6655" w:rsidRDefault="001C6655" w:rsidP="00AA6D04">
      <w:pPr>
        <w:ind w:left="7371"/>
        <w:rPr>
          <w:rFonts w:cs="Times New Roman"/>
          <w:b/>
          <w:bCs/>
          <w:lang w:val="en-AU"/>
        </w:rPr>
      </w:pPr>
    </w:p>
    <w:p w14:paraId="51BE5247" w14:textId="77777777" w:rsidR="001C6655" w:rsidRDefault="001C6655" w:rsidP="00AA6D04">
      <w:pPr>
        <w:ind w:left="7371"/>
        <w:rPr>
          <w:rFonts w:cs="Times New Roman"/>
          <w:b/>
          <w:bCs/>
          <w:lang w:val="en-AU"/>
        </w:rPr>
      </w:pPr>
    </w:p>
    <w:p w14:paraId="1017D8B5" w14:textId="312B35F0" w:rsidR="00413098" w:rsidRPr="00040FC5" w:rsidRDefault="006936FC" w:rsidP="00413098">
      <w:pPr>
        <w:shd w:val="clear" w:color="auto" w:fill="FFFFFF"/>
        <w:outlineLvl w:val="3"/>
      </w:pPr>
      <w:r>
        <w:rPr>
          <w:color w:val="212529"/>
        </w:rPr>
        <w:t xml:space="preserve">High Voltage Switchgear and </w:t>
      </w:r>
      <w:proofErr w:type="spellStart"/>
      <w:r>
        <w:rPr>
          <w:color w:val="212529"/>
        </w:rPr>
        <w:t>Controlgear</w:t>
      </w:r>
      <w:proofErr w:type="spellEnd"/>
      <w:r w:rsidR="00332CB0">
        <w:rPr>
          <w:color w:val="212529"/>
        </w:rPr>
        <w:t xml:space="preserve"> </w:t>
      </w:r>
      <w:r w:rsidR="00413098" w:rsidRPr="002C5551">
        <w:t>Sectional Committee</w:t>
      </w:r>
      <w:r w:rsidR="00413098" w:rsidRPr="00C05E2A">
        <w:rPr>
          <w:rFonts w:cs="Times New Roman"/>
        </w:rPr>
        <w:t>,</w:t>
      </w:r>
      <w:r>
        <w:rPr>
          <w:rFonts w:cs="Times New Roman"/>
        </w:rPr>
        <w:t xml:space="preserve"> ETD 08      </w:t>
      </w:r>
      <w:r>
        <w:rPr>
          <w:rFonts w:cs="Times New Roman"/>
        </w:rPr>
        <w:tab/>
      </w:r>
      <w:r>
        <w:rPr>
          <w:rFonts w:cs="Times New Roman"/>
        </w:rPr>
        <w:tab/>
      </w:r>
      <w:r>
        <w:rPr>
          <w:rFonts w:cs="Times New Roman"/>
        </w:rPr>
        <w:tab/>
      </w:r>
      <w:r>
        <w:rPr>
          <w:rFonts w:cs="Times New Roman"/>
        </w:rPr>
        <w:tab/>
      </w:r>
      <w:r>
        <w:rPr>
          <w:rFonts w:cs="Times New Roman"/>
        </w:rPr>
        <w:tab/>
      </w:r>
      <w:r w:rsidR="003E042D">
        <w:rPr>
          <w:rFonts w:cs="Times New Roman"/>
        </w:rPr>
        <w:t xml:space="preserve">                      </w:t>
      </w:r>
      <w:r w:rsidR="00413098">
        <w:rPr>
          <w:rFonts w:cs="Times New Roman"/>
        </w:rPr>
        <w:t xml:space="preserve">                  </w:t>
      </w:r>
    </w:p>
    <w:p w14:paraId="106005F8" w14:textId="77777777" w:rsidR="00413098" w:rsidRDefault="00413098" w:rsidP="007E0BED">
      <w:pPr>
        <w:autoSpaceDE w:val="0"/>
        <w:autoSpaceDN w:val="0"/>
        <w:adjustRightInd w:val="0"/>
        <w:jc w:val="both"/>
      </w:pPr>
    </w:p>
    <w:p w14:paraId="5B95B4DD" w14:textId="777CF8C1" w:rsidR="007E0BED" w:rsidRPr="001E7B73" w:rsidRDefault="007E0BED" w:rsidP="007E0BED">
      <w:pPr>
        <w:autoSpaceDE w:val="0"/>
        <w:autoSpaceDN w:val="0"/>
        <w:adjustRightInd w:val="0"/>
        <w:jc w:val="both"/>
        <w:rPr>
          <w:rFonts w:cs="Times New Roman"/>
          <w:color w:val="000000"/>
        </w:rPr>
      </w:pPr>
      <w:r w:rsidRPr="001E7B73">
        <w:rPr>
          <w:rFonts w:cs="Times New Roman"/>
          <w:color w:val="000000"/>
        </w:rPr>
        <w:t>NATIONAL FOREWORD</w:t>
      </w:r>
    </w:p>
    <w:p w14:paraId="19487BE5" w14:textId="77777777" w:rsidR="007E0BED" w:rsidRDefault="007E0BED" w:rsidP="002D52FE">
      <w:pPr>
        <w:jc w:val="both"/>
        <w:rPr>
          <w:rFonts w:asciiTheme="minorHAnsi" w:hAnsiTheme="minorHAnsi" w:cstheme="minorHAnsi"/>
          <w:color w:val="000000"/>
        </w:rPr>
      </w:pPr>
    </w:p>
    <w:p w14:paraId="0CC5D277" w14:textId="176B31A2" w:rsidR="007E0BED" w:rsidRDefault="00806985" w:rsidP="009D615E">
      <w:pPr>
        <w:pStyle w:val="Heading4"/>
        <w:shd w:val="clear" w:color="auto" w:fill="FFFFFF"/>
        <w:spacing w:before="0" w:beforeAutospacing="0"/>
        <w:jc w:val="both"/>
        <w:rPr>
          <w:b w:val="0"/>
        </w:rPr>
      </w:pPr>
      <w:r w:rsidRPr="009D615E">
        <w:rPr>
          <w:b w:val="0"/>
        </w:rPr>
        <w:t>This</w:t>
      </w:r>
      <w:r w:rsidR="007E0BED" w:rsidRPr="009D615E">
        <w:rPr>
          <w:b w:val="0"/>
        </w:rPr>
        <w:t xml:space="preserve"> Indian Standard </w:t>
      </w:r>
      <w:r w:rsidR="00292864">
        <w:rPr>
          <w:b w:val="0"/>
        </w:rPr>
        <w:t>(First R</w:t>
      </w:r>
      <w:r w:rsidR="008D4B9C">
        <w:rPr>
          <w:b w:val="0"/>
        </w:rPr>
        <w:t>evision</w:t>
      </w:r>
      <w:r w:rsidR="00292864">
        <w:rPr>
          <w:b w:val="0"/>
        </w:rPr>
        <w:t>)</w:t>
      </w:r>
      <w:r w:rsidR="008D4B9C">
        <w:rPr>
          <w:b w:val="0"/>
        </w:rPr>
        <w:t xml:space="preserve"> </w:t>
      </w:r>
      <w:r w:rsidR="007E0BED" w:rsidRPr="009D615E">
        <w:rPr>
          <w:b w:val="0"/>
        </w:rPr>
        <w:t xml:space="preserve">which is identical with </w:t>
      </w:r>
      <w:r w:rsidR="00ED5510" w:rsidRPr="009D615E">
        <w:rPr>
          <w:b w:val="0"/>
        </w:rPr>
        <w:t xml:space="preserve">IEC </w:t>
      </w:r>
      <w:r w:rsidR="008D4B9C">
        <w:rPr>
          <w:b w:val="0"/>
        </w:rPr>
        <w:t>62271-202:2022</w:t>
      </w:r>
      <w:r w:rsidR="00E706CF" w:rsidRPr="008D4B9C">
        <w:rPr>
          <w:b w:val="0"/>
        </w:rPr>
        <w:t xml:space="preserve"> </w:t>
      </w:r>
      <w:r w:rsidR="007E0BED" w:rsidRPr="009D615E">
        <w:rPr>
          <w:b w:val="0"/>
        </w:rPr>
        <w:t>“</w:t>
      </w:r>
      <w:r w:rsidR="008D4B9C" w:rsidRPr="008D4B9C">
        <w:rPr>
          <w:b w:val="0"/>
        </w:rPr>
        <w:t xml:space="preserve">High-voltage switchgear and </w:t>
      </w:r>
      <w:proofErr w:type="spellStart"/>
      <w:r w:rsidR="008D4B9C" w:rsidRPr="008D4B9C">
        <w:rPr>
          <w:b w:val="0"/>
        </w:rPr>
        <w:t>controlgear</w:t>
      </w:r>
      <w:proofErr w:type="spellEnd"/>
      <w:r w:rsidR="008D4B9C" w:rsidRPr="008D4B9C">
        <w:rPr>
          <w:b w:val="0"/>
        </w:rPr>
        <w:t xml:space="preserve"> –  Part 202: AC prefabricated substations for rated voltages above 1 kV and up to and including 52 kV</w:t>
      </w:r>
      <w:r w:rsidR="002C5551" w:rsidRPr="009D615E">
        <w:rPr>
          <w:b w:val="0"/>
        </w:rPr>
        <w:t>”</w:t>
      </w:r>
      <w:r w:rsidR="007E0BED" w:rsidRPr="009D615E">
        <w:rPr>
          <w:b w:val="0"/>
        </w:rPr>
        <w:t xml:space="preserve"> issued by the International </w:t>
      </w:r>
      <w:proofErr w:type="spellStart"/>
      <w:r w:rsidR="007E0BED" w:rsidRPr="009D615E">
        <w:rPr>
          <w:b w:val="0"/>
        </w:rPr>
        <w:t>Electrotechnical</w:t>
      </w:r>
      <w:proofErr w:type="spellEnd"/>
      <w:r w:rsidR="007E0BED" w:rsidRPr="009D615E">
        <w:rPr>
          <w:b w:val="0"/>
        </w:rPr>
        <w:t xml:space="preserve"> Commission (IEC) </w:t>
      </w:r>
      <w:r w:rsidR="005A629F">
        <w:rPr>
          <w:b w:val="0"/>
        </w:rPr>
        <w:t xml:space="preserve">was </w:t>
      </w:r>
      <w:r w:rsidR="007E0BED" w:rsidRPr="009D615E">
        <w:rPr>
          <w:b w:val="0"/>
        </w:rPr>
        <w:t xml:space="preserve">adopted by the Bureau of Indian Standards on the recommendation of the </w:t>
      </w:r>
      <w:r w:rsidR="00292864">
        <w:rPr>
          <w:b w:val="0"/>
        </w:rPr>
        <w:t>High</w:t>
      </w:r>
      <w:r w:rsidR="009D615E" w:rsidRPr="008D4B9C">
        <w:rPr>
          <w:b w:val="0"/>
        </w:rPr>
        <w:t xml:space="preserve"> Voltage Switchgear and </w:t>
      </w:r>
      <w:proofErr w:type="spellStart"/>
      <w:r w:rsidR="009D615E" w:rsidRPr="008D4B9C">
        <w:rPr>
          <w:b w:val="0"/>
        </w:rPr>
        <w:t>Controlgear</w:t>
      </w:r>
      <w:proofErr w:type="spellEnd"/>
      <w:r w:rsidR="009D615E" w:rsidRPr="008D4B9C">
        <w:rPr>
          <w:b w:val="0"/>
        </w:rPr>
        <w:t> </w:t>
      </w:r>
      <w:r w:rsidR="007E0BED" w:rsidRPr="009D615E">
        <w:rPr>
          <w:b w:val="0"/>
        </w:rPr>
        <w:t xml:space="preserve">Sectional Committee and approval of the </w:t>
      </w:r>
      <w:proofErr w:type="spellStart"/>
      <w:r w:rsidR="007E0BED" w:rsidRPr="009D615E">
        <w:rPr>
          <w:b w:val="0"/>
        </w:rPr>
        <w:t>Electrotechnical</w:t>
      </w:r>
      <w:proofErr w:type="spellEnd"/>
      <w:r w:rsidR="007E0BED" w:rsidRPr="009D615E">
        <w:rPr>
          <w:b w:val="0"/>
        </w:rPr>
        <w:t xml:space="preserve"> Division Council.</w:t>
      </w:r>
    </w:p>
    <w:p w14:paraId="3EC0116E" w14:textId="357CD61F" w:rsidR="005A629F" w:rsidRDefault="005A629F" w:rsidP="005A629F">
      <w:pPr>
        <w:jc w:val="both"/>
      </w:pPr>
      <w:r>
        <w:t>This standard is published in various parts. Other parts in this series are:</w:t>
      </w:r>
    </w:p>
    <w:p w14:paraId="112F3F21" w14:textId="77777777" w:rsidR="00FC4178" w:rsidRDefault="00FC4178" w:rsidP="005A629F">
      <w:pPr>
        <w:jc w:val="both"/>
      </w:pPr>
    </w:p>
    <w:p w14:paraId="263C4A44" w14:textId="77777777" w:rsidR="00FC4178" w:rsidRDefault="00FC4178" w:rsidP="00FC4178">
      <w:pPr>
        <w:ind w:left="1440" w:hanging="1440"/>
        <w:jc w:val="both"/>
      </w:pPr>
      <w:r>
        <w:t>Part 1</w:t>
      </w:r>
      <w:r>
        <w:tab/>
        <w:t>High-Voltage Switchgear a</w:t>
      </w:r>
      <w:r w:rsidRPr="007209B3">
        <w:t xml:space="preserve">nd </w:t>
      </w:r>
      <w:proofErr w:type="spellStart"/>
      <w:r w:rsidRPr="007209B3">
        <w:t>Controlgea</w:t>
      </w:r>
      <w:r>
        <w:t>r</w:t>
      </w:r>
      <w:proofErr w:type="spellEnd"/>
      <w:r>
        <w:t xml:space="preserve"> Part 1 Common Specifications f</w:t>
      </w:r>
      <w:r w:rsidRPr="007209B3">
        <w:t xml:space="preserve">or Alternating </w:t>
      </w:r>
      <w:r>
        <w:t>Current Switchgear a</w:t>
      </w:r>
      <w:r w:rsidRPr="007209B3">
        <w:t xml:space="preserve">nd </w:t>
      </w:r>
      <w:proofErr w:type="spellStart"/>
      <w:r w:rsidRPr="007209B3">
        <w:t>Controlgear</w:t>
      </w:r>
      <w:proofErr w:type="spellEnd"/>
    </w:p>
    <w:p w14:paraId="71F9C906" w14:textId="77777777" w:rsidR="00FC4178" w:rsidRPr="00757277" w:rsidRDefault="00FC4178" w:rsidP="00FC4178">
      <w:pPr>
        <w:ind w:left="1440" w:hanging="1440"/>
        <w:jc w:val="both"/>
        <w:rPr>
          <w:sz w:val="10"/>
          <w:szCs w:val="10"/>
        </w:rPr>
      </w:pPr>
    </w:p>
    <w:p w14:paraId="16A1DF79" w14:textId="77777777" w:rsidR="00FC4178" w:rsidRDefault="00FC4178" w:rsidP="00FC4178">
      <w:pPr>
        <w:ind w:left="1440" w:hanging="1440"/>
        <w:jc w:val="both"/>
      </w:pPr>
      <w:r>
        <w:t>Part 100</w:t>
      </w:r>
      <w:r>
        <w:tab/>
      </w:r>
      <w:r w:rsidRPr="00757277">
        <w:t xml:space="preserve">High-voltage switchgear and </w:t>
      </w:r>
      <w:proofErr w:type="spellStart"/>
      <w:r w:rsidRPr="00757277">
        <w:t>controlgear</w:t>
      </w:r>
      <w:proofErr w:type="spellEnd"/>
      <w:r w:rsidRPr="00757277">
        <w:t xml:space="preserve"> Part 100 Alternating-current circuit-breakers</w:t>
      </w:r>
    </w:p>
    <w:p w14:paraId="5B06D4D6" w14:textId="77777777" w:rsidR="00FC4178" w:rsidRPr="00757277" w:rsidRDefault="00FC4178" w:rsidP="00FC4178">
      <w:pPr>
        <w:ind w:left="1440" w:hanging="1440"/>
        <w:jc w:val="both"/>
        <w:rPr>
          <w:sz w:val="10"/>
          <w:szCs w:val="10"/>
        </w:rPr>
      </w:pPr>
    </w:p>
    <w:p w14:paraId="301FF234" w14:textId="77777777" w:rsidR="00FC4178" w:rsidRDefault="00FC4178" w:rsidP="00FC4178">
      <w:pPr>
        <w:ind w:left="1440" w:hanging="1440"/>
        <w:jc w:val="both"/>
      </w:pPr>
      <w:r w:rsidRPr="00757277">
        <w:t>Part 101</w:t>
      </w:r>
      <w:r w:rsidRPr="00757277">
        <w:tab/>
        <w:t xml:space="preserve">High-Voltage Switchgear and </w:t>
      </w:r>
      <w:proofErr w:type="spellStart"/>
      <w:r w:rsidRPr="00757277">
        <w:t>Controlgear</w:t>
      </w:r>
      <w:proofErr w:type="spellEnd"/>
      <w:r w:rsidRPr="00757277">
        <w:t xml:space="preserve"> Part 101: Synthetic Testing</w:t>
      </w:r>
    </w:p>
    <w:p w14:paraId="549B9446" w14:textId="77777777" w:rsidR="00FC4178" w:rsidRPr="00757277" w:rsidRDefault="00FC4178" w:rsidP="00FC4178">
      <w:pPr>
        <w:ind w:left="1440" w:hanging="1440"/>
        <w:jc w:val="both"/>
        <w:rPr>
          <w:sz w:val="10"/>
          <w:szCs w:val="10"/>
        </w:rPr>
      </w:pPr>
    </w:p>
    <w:p w14:paraId="6F942408" w14:textId="77777777" w:rsidR="00FC4178" w:rsidRDefault="00FC4178" w:rsidP="00FC4178">
      <w:pPr>
        <w:ind w:left="1440" w:hanging="1440"/>
        <w:jc w:val="both"/>
      </w:pPr>
      <w:r w:rsidRPr="00757277">
        <w:t>Part 102</w:t>
      </w:r>
      <w:r w:rsidRPr="00757277">
        <w:tab/>
        <w:t xml:space="preserve">High-Voltage Switchgear and </w:t>
      </w:r>
      <w:proofErr w:type="spellStart"/>
      <w:r w:rsidRPr="00757277">
        <w:t>Controlgear</w:t>
      </w:r>
      <w:proofErr w:type="spellEnd"/>
      <w:r w:rsidRPr="00757277">
        <w:t xml:space="preserve"> Part 102 Alt</w:t>
      </w:r>
      <w:r>
        <w:t xml:space="preserve">ernating Current </w:t>
      </w:r>
      <w:proofErr w:type="spellStart"/>
      <w:r>
        <w:t>Disconnectors</w:t>
      </w:r>
      <w:proofErr w:type="spellEnd"/>
      <w:r>
        <w:t xml:space="preserve"> a</w:t>
      </w:r>
      <w:r w:rsidRPr="00757277">
        <w:t xml:space="preserve">nd </w:t>
      </w:r>
      <w:proofErr w:type="spellStart"/>
      <w:r w:rsidRPr="00757277">
        <w:t>Earthing</w:t>
      </w:r>
      <w:proofErr w:type="spellEnd"/>
      <w:r w:rsidRPr="00757277">
        <w:t xml:space="preserve"> Switches</w:t>
      </w:r>
    </w:p>
    <w:p w14:paraId="2137489C" w14:textId="77777777" w:rsidR="00FC4178" w:rsidRPr="00757277" w:rsidRDefault="00FC4178" w:rsidP="00FC4178">
      <w:pPr>
        <w:ind w:left="1440" w:hanging="1440"/>
        <w:jc w:val="both"/>
        <w:rPr>
          <w:sz w:val="10"/>
          <w:szCs w:val="10"/>
        </w:rPr>
      </w:pPr>
    </w:p>
    <w:p w14:paraId="60E94C55" w14:textId="4FC93E13" w:rsidR="00FC4178" w:rsidRDefault="00FC4178" w:rsidP="00FC4178">
      <w:pPr>
        <w:ind w:left="1440" w:hanging="1440"/>
        <w:jc w:val="both"/>
      </w:pPr>
      <w:r w:rsidRPr="00757277">
        <w:t>Part 103</w:t>
      </w:r>
      <w:r w:rsidRPr="00757277">
        <w:tab/>
        <w:t xml:space="preserve">High-voltage switchgear and </w:t>
      </w:r>
      <w:proofErr w:type="spellStart"/>
      <w:r w:rsidRPr="00757277">
        <w:t>controlgear</w:t>
      </w:r>
      <w:proofErr w:type="spellEnd"/>
      <w:r w:rsidRPr="00757277">
        <w:t xml:space="preserve"> Part 103 Alternating current switches for rated voltages above 1</w:t>
      </w:r>
      <w:r w:rsidR="00C56FF7">
        <w:t xml:space="preserve"> kV up to and including 52 kV</w:t>
      </w:r>
    </w:p>
    <w:p w14:paraId="7122338A" w14:textId="77777777" w:rsidR="00FC4178" w:rsidRPr="00757277" w:rsidRDefault="00FC4178" w:rsidP="00FC4178">
      <w:pPr>
        <w:ind w:left="1440" w:hanging="1440"/>
        <w:jc w:val="both"/>
        <w:rPr>
          <w:sz w:val="10"/>
          <w:szCs w:val="10"/>
        </w:rPr>
      </w:pPr>
    </w:p>
    <w:p w14:paraId="48202D18" w14:textId="77777777" w:rsidR="00FC4178" w:rsidRDefault="00FC4178" w:rsidP="00FC4178">
      <w:pPr>
        <w:ind w:left="1440" w:hanging="1440"/>
        <w:jc w:val="both"/>
      </w:pPr>
      <w:r w:rsidRPr="00757277">
        <w:t>Part 104</w:t>
      </w:r>
      <w:r w:rsidRPr="00757277">
        <w:tab/>
        <w:t>High-Vol</w:t>
      </w:r>
      <w:r>
        <w:t xml:space="preserve">tage Switchgear and </w:t>
      </w:r>
      <w:proofErr w:type="spellStart"/>
      <w:r>
        <w:t>Controlgear</w:t>
      </w:r>
      <w:proofErr w:type="spellEnd"/>
      <w:r w:rsidRPr="00757277">
        <w:t>: Part 104 Alternating Current Switches for Rated Voltages Higher than 52 kV</w:t>
      </w:r>
    </w:p>
    <w:p w14:paraId="156EC438" w14:textId="77777777" w:rsidR="00FC4178" w:rsidRPr="00757277" w:rsidRDefault="00FC4178" w:rsidP="00FC4178">
      <w:pPr>
        <w:ind w:left="1440" w:hanging="1440"/>
        <w:jc w:val="both"/>
        <w:rPr>
          <w:sz w:val="10"/>
          <w:szCs w:val="10"/>
        </w:rPr>
      </w:pPr>
    </w:p>
    <w:p w14:paraId="556A4B4B" w14:textId="77777777" w:rsidR="00FC4178" w:rsidRDefault="00FC4178" w:rsidP="00FC4178">
      <w:pPr>
        <w:ind w:left="1440" w:hanging="1440"/>
        <w:jc w:val="both"/>
      </w:pPr>
      <w:r w:rsidRPr="00757277">
        <w:t>Part 105</w:t>
      </w:r>
      <w:r w:rsidRPr="00757277">
        <w:tab/>
        <w:t>High-vol</w:t>
      </w:r>
      <w:r>
        <w:t xml:space="preserve">tage switchgear and </w:t>
      </w:r>
      <w:proofErr w:type="spellStart"/>
      <w:r>
        <w:t>controlgear</w:t>
      </w:r>
      <w:proofErr w:type="spellEnd"/>
      <w:r w:rsidRPr="00757277">
        <w:t>: Part 105 Alternating current switch-fuse combinations for rated voltages above 1 kV up to and including 52 kV</w:t>
      </w:r>
    </w:p>
    <w:p w14:paraId="69D769DD" w14:textId="77777777" w:rsidR="00FC4178" w:rsidRPr="00757277" w:rsidRDefault="00FC4178" w:rsidP="00FC4178">
      <w:pPr>
        <w:ind w:left="1440" w:hanging="1440"/>
        <w:jc w:val="both"/>
        <w:rPr>
          <w:sz w:val="10"/>
          <w:szCs w:val="10"/>
        </w:rPr>
      </w:pPr>
    </w:p>
    <w:p w14:paraId="08053987" w14:textId="77777777" w:rsidR="00FC4178" w:rsidRDefault="00FC4178" w:rsidP="00FC4178">
      <w:pPr>
        <w:ind w:left="1440" w:hanging="1440"/>
        <w:jc w:val="both"/>
      </w:pPr>
      <w:r w:rsidRPr="00757277">
        <w:t>Part 106</w:t>
      </w:r>
      <w:r w:rsidRPr="00757277">
        <w:tab/>
        <w:t xml:space="preserve">High-voltage switchgear and </w:t>
      </w:r>
      <w:proofErr w:type="spellStart"/>
      <w:r w:rsidRPr="00757277">
        <w:t>controlgear</w:t>
      </w:r>
      <w:proofErr w:type="spellEnd"/>
      <w:r w:rsidRPr="00757277">
        <w:t xml:space="preserve"> Part 106: Alternating current contactors contactor-based controllers and </w:t>
      </w:r>
      <w:proofErr w:type="spellStart"/>
      <w:r w:rsidRPr="00757277">
        <w:t>motorstarters</w:t>
      </w:r>
      <w:proofErr w:type="spellEnd"/>
    </w:p>
    <w:p w14:paraId="4B7C9548" w14:textId="77777777" w:rsidR="00FC4178" w:rsidRPr="00757277" w:rsidRDefault="00FC4178" w:rsidP="00FC4178">
      <w:pPr>
        <w:ind w:left="1440" w:hanging="1440"/>
        <w:jc w:val="both"/>
        <w:rPr>
          <w:sz w:val="10"/>
          <w:szCs w:val="10"/>
        </w:rPr>
      </w:pPr>
    </w:p>
    <w:p w14:paraId="0577CF90" w14:textId="77777777" w:rsidR="00FC4178" w:rsidRDefault="00FC4178" w:rsidP="00FC4178">
      <w:pPr>
        <w:ind w:left="1440" w:hanging="1440"/>
        <w:jc w:val="both"/>
      </w:pPr>
      <w:r w:rsidRPr="00757277">
        <w:t>Part 109</w:t>
      </w:r>
      <w:r w:rsidRPr="00757277">
        <w:tab/>
        <w:t xml:space="preserve">High-Voltage switchgear and </w:t>
      </w:r>
      <w:proofErr w:type="spellStart"/>
      <w:r w:rsidRPr="00757277">
        <w:t>Controlgear</w:t>
      </w:r>
      <w:proofErr w:type="spellEnd"/>
      <w:r w:rsidRPr="00757277">
        <w:t>: Part 109 Alternating-current series capacitor by-pass switches</w:t>
      </w:r>
    </w:p>
    <w:p w14:paraId="60628A12" w14:textId="77777777" w:rsidR="00FC4178" w:rsidRPr="00757277" w:rsidRDefault="00FC4178" w:rsidP="00FC4178">
      <w:pPr>
        <w:ind w:left="1440" w:hanging="1440"/>
        <w:jc w:val="both"/>
        <w:rPr>
          <w:sz w:val="10"/>
          <w:szCs w:val="10"/>
        </w:rPr>
      </w:pPr>
    </w:p>
    <w:p w14:paraId="3F57CEAC" w14:textId="77777777" w:rsidR="00FC4178" w:rsidRDefault="00FC4178" w:rsidP="00FC4178">
      <w:pPr>
        <w:ind w:left="1440" w:hanging="1440"/>
        <w:jc w:val="both"/>
      </w:pPr>
      <w:r w:rsidRPr="00757277">
        <w:t>Part 110</w:t>
      </w:r>
      <w:r w:rsidRPr="00757277">
        <w:tab/>
        <w:t xml:space="preserve">High-voltage switchgear and </w:t>
      </w:r>
      <w:proofErr w:type="spellStart"/>
      <w:r w:rsidRPr="00757277">
        <w:t>controlgear</w:t>
      </w:r>
      <w:proofErr w:type="spellEnd"/>
      <w:r w:rsidRPr="00757277">
        <w:t xml:space="preserve"> Part 110: Inductive load switching</w:t>
      </w:r>
    </w:p>
    <w:p w14:paraId="26A0792C" w14:textId="77777777" w:rsidR="00FC4178" w:rsidRPr="00757277" w:rsidRDefault="00FC4178" w:rsidP="00FC4178">
      <w:pPr>
        <w:ind w:left="1440" w:hanging="1440"/>
        <w:jc w:val="both"/>
        <w:rPr>
          <w:sz w:val="10"/>
          <w:szCs w:val="10"/>
        </w:rPr>
      </w:pPr>
    </w:p>
    <w:p w14:paraId="75555AE8" w14:textId="77777777" w:rsidR="00FC4178" w:rsidRDefault="00FC4178" w:rsidP="00FC4178">
      <w:pPr>
        <w:ind w:left="1440" w:hanging="1440"/>
        <w:jc w:val="both"/>
      </w:pPr>
      <w:r w:rsidRPr="00757277">
        <w:t>Part 111</w:t>
      </w:r>
      <w:r w:rsidRPr="00757277">
        <w:tab/>
        <w:t xml:space="preserve">High Voltage Switchgear and </w:t>
      </w:r>
      <w:proofErr w:type="spellStart"/>
      <w:r w:rsidRPr="00757277">
        <w:t>Controlgear</w:t>
      </w:r>
      <w:proofErr w:type="spellEnd"/>
      <w:r w:rsidRPr="00757277">
        <w:t xml:space="preserve">: Part 111 Automatic circuit </w:t>
      </w:r>
      <w:proofErr w:type="spellStart"/>
      <w:r w:rsidRPr="00757277">
        <w:t>reclosers</w:t>
      </w:r>
      <w:proofErr w:type="spellEnd"/>
      <w:r w:rsidRPr="00757277">
        <w:t xml:space="preserve"> for alternating current systems up to and including 38 kV</w:t>
      </w:r>
    </w:p>
    <w:p w14:paraId="668D72E3" w14:textId="77777777" w:rsidR="00FC4178" w:rsidRPr="00757277" w:rsidRDefault="00FC4178" w:rsidP="00FC4178">
      <w:pPr>
        <w:ind w:left="1440" w:hanging="1440"/>
        <w:jc w:val="both"/>
        <w:rPr>
          <w:sz w:val="10"/>
          <w:szCs w:val="10"/>
        </w:rPr>
      </w:pPr>
    </w:p>
    <w:p w14:paraId="5B7D4B00" w14:textId="62C50ADB" w:rsidR="00FC4178" w:rsidRDefault="00FC4178" w:rsidP="00FC4178">
      <w:pPr>
        <w:ind w:left="1440" w:hanging="1440"/>
        <w:jc w:val="both"/>
      </w:pPr>
      <w:r w:rsidRPr="00757277">
        <w:t>Part 201</w:t>
      </w:r>
      <w:r w:rsidRPr="00757277">
        <w:tab/>
        <w:t xml:space="preserve">High-Voltage Switchgear and </w:t>
      </w:r>
      <w:proofErr w:type="spellStart"/>
      <w:r w:rsidRPr="00757277">
        <w:t>Controlgear</w:t>
      </w:r>
      <w:proofErr w:type="spellEnd"/>
      <w:r w:rsidRPr="00757277">
        <w:t xml:space="preserve"> Part 201 ac Solid-Insulation Enclosed Switchgear and </w:t>
      </w:r>
      <w:proofErr w:type="spellStart"/>
      <w:r w:rsidRPr="00757277">
        <w:t>Controlgear</w:t>
      </w:r>
      <w:proofErr w:type="spellEnd"/>
      <w:r w:rsidRPr="00757277">
        <w:t xml:space="preserve"> for Rated Voltages Above 1</w:t>
      </w:r>
      <w:r>
        <w:t xml:space="preserve"> kV up to and Including 52 kV </w:t>
      </w:r>
    </w:p>
    <w:p w14:paraId="3C3E6AC5" w14:textId="77777777" w:rsidR="00C56FF7" w:rsidRPr="00C56FF7" w:rsidRDefault="00C56FF7" w:rsidP="00FC4178">
      <w:pPr>
        <w:ind w:left="1440" w:hanging="1440"/>
        <w:jc w:val="both"/>
        <w:rPr>
          <w:sz w:val="10"/>
          <w:szCs w:val="10"/>
        </w:rPr>
      </w:pPr>
    </w:p>
    <w:p w14:paraId="2914E189" w14:textId="77777777" w:rsidR="00FC4178" w:rsidRDefault="00FC4178" w:rsidP="00FC4178">
      <w:pPr>
        <w:ind w:left="1440" w:hanging="1440"/>
        <w:jc w:val="both"/>
      </w:pPr>
      <w:r w:rsidRPr="00757277">
        <w:t>Part 203</w:t>
      </w:r>
      <w:r w:rsidRPr="00757277">
        <w:tab/>
        <w:t xml:space="preserve">High-voltage switchgear and </w:t>
      </w:r>
      <w:proofErr w:type="spellStart"/>
      <w:r w:rsidRPr="00757277">
        <w:t>controlgear</w:t>
      </w:r>
      <w:proofErr w:type="spellEnd"/>
      <w:r w:rsidRPr="00757277">
        <w:t xml:space="preserve"> Part 203: AC gas-insulated metal-enclosed switchgear for rated voltages above 52 kV</w:t>
      </w:r>
    </w:p>
    <w:p w14:paraId="211CFFBE" w14:textId="77777777" w:rsidR="00FC4178" w:rsidRPr="00757277" w:rsidRDefault="00FC4178" w:rsidP="00FC4178">
      <w:pPr>
        <w:ind w:left="1440" w:hanging="1440"/>
        <w:jc w:val="both"/>
        <w:rPr>
          <w:sz w:val="10"/>
          <w:szCs w:val="10"/>
        </w:rPr>
      </w:pPr>
    </w:p>
    <w:p w14:paraId="708BCDA0" w14:textId="57043346" w:rsidR="00FC4178" w:rsidRDefault="00FC4178" w:rsidP="00FC4178">
      <w:pPr>
        <w:ind w:left="1440" w:hanging="1440"/>
        <w:jc w:val="both"/>
      </w:pPr>
      <w:r w:rsidRPr="00757277">
        <w:t>Part 207</w:t>
      </w:r>
      <w:r w:rsidRPr="00757277">
        <w:tab/>
        <w:t xml:space="preserve">High - Voltage switchgear and </w:t>
      </w:r>
      <w:proofErr w:type="spellStart"/>
      <w:r w:rsidRPr="00757277">
        <w:t>controlgear</w:t>
      </w:r>
      <w:proofErr w:type="spellEnd"/>
      <w:r w:rsidRPr="00757277">
        <w:t xml:space="preserve">: Part 207 seismic qualification for gas - Insulated switchgear assemblies for rated voltages above 52 kV </w:t>
      </w:r>
    </w:p>
    <w:p w14:paraId="3E5C5668" w14:textId="77777777" w:rsidR="00FC4178" w:rsidRPr="00757277" w:rsidRDefault="00FC4178" w:rsidP="00FC4178">
      <w:pPr>
        <w:ind w:left="1440" w:hanging="1440"/>
        <w:jc w:val="both"/>
        <w:rPr>
          <w:sz w:val="10"/>
          <w:szCs w:val="10"/>
        </w:rPr>
      </w:pPr>
    </w:p>
    <w:p w14:paraId="776BA12E" w14:textId="77777777" w:rsidR="00FC4178" w:rsidRDefault="00FC4178" w:rsidP="00FC4178">
      <w:pPr>
        <w:ind w:left="1440" w:hanging="1440"/>
        <w:jc w:val="both"/>
      </w:pPr>
      <w:r w:rsidRPr="00757277">
        <w:t>Part 300</w:t>
      </w:r>
      <w:r w:rsidRPr="00757277">
        <w:tab/>
        <w:t xml:space="preserve">High-Voltage Switchgear and </w:t>
      </w:r>
      <w:proofErr w:type="spellStart"/>
      <w:r w:rsidRPr="00757277">
        <w:t>Controlgear</w:t>
      </w:r>
      <w:proofErr w:type="spellEnd"/>
      <w:r w:rsidRPr="00757277">
        <w:t xml:space="preserve"> Part 300 Seismic Qualification of Alternating Current Circuit-Breakers</w:t>
      </w:r>
    </w:p>
    <w:p w14:paraId="771353E6" w14:textId="77777777" w:rsidR="00FC4178" w:rsidRPr="00B3085D" w:rsidRDefault="00FC4178" w:rsidP="00FC4178">
      <w:pPr>
        <w:ind w:left="1440" w:hanging="1440"/>
        <w:jc w:val="both"/>
        <w:rPr>
          <w:sz w:val="10"/>
          <w:szCs w:val="10"/>
        </w:rPr>
      </w:pPr>
    </w:p>
    <w:p w14:paraId="3B8697DD" w14:textId="77777777" w:rsidR="00FC4178" w:rsidRDefault="00FC4178" w:rsidP="00FC4178">
      <w:pPr>
        <w:ind w:left="1440" w:hanging="1440"/>
        <w:jc w:val="both"/>
      </w:pPr>
      <w:r w:rsidRPr="00757277">
        <w:t>Part 301</w:t>
      </w:r>
      <w:r w:rsidRPr="00757277">
        <w:tab/>
        <w:t xml:space="preserve">High Voltage Switchgear &amp; </w:t>
      </w:r>
      <w:proofErr w:type="spellStart"/>
      <w:r w:rsidRPr="00757277">
        <w:t>Controlgear</w:t>
      </w:r>
      <w:proofErr w:type="spellEnd"/>
      <w:r w:rsidRPr="00757277">
        <w:t xml:space="preserve"> Part 301 Dimensional Standardization of High Voltage Terminals</w:t>
      </w:r>
    </w:p>
    <w:p w14:paraId="2C752C96" w14:textId="77777777" w:rsidR="00FC4178" w:rsidRDefault="00FC4178" w:rsidP="005A629F">
      <w:pPr>
        <w:jc w:val="both"/>
      </w:pPr>
    </w:p>
    <w:p w14:paraId="6ED27A5C" w14:textId="77777777" w:rsidR="00C431AC" w:rsidRPr="00A41384" w:rsidRDefault="00C431AC" w:rsidP="00C431AC">
      <w:pPr>
        <w:autoSpaceDE w:val="0"/>
        <w:autoSpaceDN w:val="0"/>
        <w:adjustRightInd w:val="0"/>
        <w:jc w:val="both"/>
        <w:rPr>
          <w:rFonts w:cs="Times New Roman"/>
          <w:color w:val="000000"/>
          <w:shd w:val="clear" w:color="auto" w:fill="FFFFFF"/>
        </w:rPr>
      </w:pPr>
      <w:r w:rsidRPr="00A41384">
        <w:rPr>
          <w:rFonts w:cs="Times New Roman"/>
        </w:rPr>
        <w:lastRenderedPageBreak/>
        <w:t>This standard was first published in 2016 and was identical with IEC 62271-202: 2014</w:t>
      </w:r>
      <w:r w:rsidRPr="00A41384">
        <w:rPr>
          <w:rFonts w:eastAsiaTheme="minorHAnsi" w:cs="Times New Roman"/>
          <w:lang w:val="en-US" w:bidi="ar-SA"/>
        </w:rPr>
        <w:t>.</w:t>
      </w:r>
      <w:r w:rsidRPr="00A41384">
        <w:rPr>
          <w:rFonts w:cs="Times New Roman"/>
        </w:rPr>
        <w:t xml:space="preserve"> </w:t>
      </w:r>
      <w:r w:rsidRPr="00A41384">
        <w:rPr>
          <w:rFonts w:eastAsiaTheme="minorHAnsi" w:cs="Times New Roman"/>
          <w:lang w:val="en-US" w:bidi="ar-SA"/>
        </w:rPr>
        <w:t>This revision has now been undertaken to align this standard</w:t>
      </w:r>
      <w:r w:rsidRPr="00A41384">
        <w:rPr>
          <w:rFonts w:cs="Times New Roman"/>
        </w:rPr>
        <w:t xml:space="preserve"> </w:t>
      </w:r>
      <w:r w:rsidRPr="00A41384">
        <w:rPr>
          <w:rFonts w:eastAsiaTheme="minorHAnsi" w:cs="Times New Roman"/>
          <w:lang w:val="en-US" w:bidi="ar-SA"/>
        </w:rPr>
        <w:t>with the latest international practices.</w:t>
      </w:r>
      <w:r w:rsidR="00A41384" w:rsidRPr="00A41384">
        <w:rPr>
          <w:rFonts w:eastAsiaTheme="minorHAnsi" w:cs="Times New Roman"/>
          <w:lang w:val="en-US" w:bidi="ar-SA"/>
        </w:rPr>
        <w:t xml:space="preserve"> </w:t>
      </w:r>
      <w:r w:rsidR="00A41384" w:rsidRPr="00A41384">
        <w:rPr>
          <w:rFonts w:cs="Times New Roman"/>
          <w:color w:val="000000"/>
          <w:shd w:val="clear" w:color="auto" w:fill="FFFFFF"/>
        </w:rPr>
        <w:t>This edition includes the following significant technical changes with respect to the previous edition:</w:t>
      </w:r>
    </w:p>
    <w:p w14:paraId="4016A829" w14:textId="77777777" w:rsidR="00A41384" w:rsidRPr="00A41384" w:rsidRDefault="00A41384" w:rsidP="00C431AC">
      <w:pPr>
        <w:autoSpaceDE w:val="0"/>
        <w:autoSpaceDN w:val="0"/>
        <w:adjustRightInd w:val="0"/>
        <w:jc w:val="both"/>
        <w:rPr>
          <w:rFonts w:cs="Times New Roman"/>
          <w:color w:val="000000"/>
          <w:shd w:val="clear" w:color="auto" w:fill="FFFFFF"/>
        </w:rPr>
      </w:pPr>
    </w:p>
    <w:p w14:paraId="403DFCC5" w14:textId="4147F800"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modification of the title and scope to include high-voltage switchgear prefabricated substations;</w:t>
      </w:r>
    </w:p>
    <w:p w14:paraId="79E8BDFC" w14:textId="7181590E"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 xml:space="preserve">in 7.2.101, the possible influence of surrounding elements on the dielectric performance of high-voltage components as high-voltage switchgear and </w:t>
      </w:r>
      <w:proofErr w:type="spellStart"/>
      <w:r w:rsidRPr="00A41384">
        <w:rPr>
          <w:rFonts w:cs="Times New Roman"/>
          <w:color w:val="000000"/>
          <w:szCs w:val="24"/>
          <w:shd w:val="clear" w:color="auto" w:fill="FFFFFF"/>
        </w:rPr>
        <w:t>controlgear</w:t>
      </w:r>
      <w:proofErr w:type="spellEnd"/>
      <w:r w:rsidRPr="00A41384">
        <w:rPr>
          <w:rFonts w:cs="Times New Roman"/>
          <w:color w:val="000000"/>
          <w:szCs w:val="24"/>
          <w:shd w:val="clear" w:color="auto" w:fill="FFFFFF"/>
        </w:rPr>
        <w:t xml:space="preserve"> and high-voltage interconnections non-metal-enclosed or without earthed screen are now considered;</w:t>
      </w:r>
    </w:p>
    <w:p w14:paraId="0A426261" w14:textId="11B288A7"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new informative Annex G with testing procedure to evaluate the impact of solar radiation in temperatures inside the enclosure and how to apply it;</w:t>
      </w:r>
    </w:p>
    <w:p w14:paraId="093120F3" w14:textId="130696AD"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new informative Annex H for appropriate consideration of installation conditions of electronic equipment;</w:t>
      </w:r>
    </w:p>
    <w:p w14:paraId="7ECF18ED" w14:textId="142D2A91"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the rated power of a prefabricated substation is now defined as a three-parameter rated value. See 5.101.1;</w:t>
      </w:r>
    </w:p>
    <w:p w14:paraId="23C6BD7E" w14:textId="23978653" w:rsidR="00A41384" w:rsidRPr="00A41384" w:rsidRDefault="00A41384" w:rsidP="00A41384">
      <w:pPr>
        <w:pStyle w:val="ListParagraph"/>
        <w:numPr>
          <w:ilvl w:val="0"/>
          <w:numId w:val="2"/>
        </w:numPr>
        <w:autoSpaceDE w:val="0"/>
        <w:autoSpaceDN w:val="0"/>
        <w:adjustRightInd w:val="0"/>
        <w:jc w:val="both"/>
        <w:rPr>
          <w:rFonts w:cs="Times New Roman"/>
          <w:color w:val="000000"/>
          <w:szCs w:val="24"/>
          <w:shd w:val="clear" w:color="auto" w:fill="FFFFFF"/>
        </w:rPr>
      </w:pPr>
      <w:r w:rsidRPr="00A41384">
        <w:rPr>
          <w:rFonts w:cs="Times New Roman"/>
          <w:color w:val="000000"/>
          <w:szCs w:val="24"/>
          <w:shd w:val="clear" w:color="auto" w:fill="FFFFFF"/>
        </w:rPr>
        <w:t>minimum dimensions for access doors to the prefabricated substation in 6.104.4 and for free height of operation aisle in 6.105.3 have been introduced;</w:t>
      </w:r>
    </w:p>
    <w:p w14:paraId="0708EBB5" w14:textId="4FC9F739" w:rsidR="00A41384" w:rsidRPr="00A41384" w:rsidRDefault="00A41384" w:rsidP="00A41384">
      <w:pPr>
        <w:pStyle w:val="ListParagraph"/>
        <w:numPr>
          <w:ilvl w:val="0"/>
          <w:numId w:val="2"/>
        </w:numPr>
        <w:autoSpaceDE w:val="0"/>
        <w:autoSpaceDN w:val="0"/>
        <w:adjustRightInd w:val="0"/>
        <w:jc w:val="both"/>
        <w:rPr>
          <w:rFonts w:eastAsiaTheme="minorHAnsi" w:cs="Times New Roman"/>
          <w:szCs w:val="24"/>
          <w:lang w:val="en-US" w:bidi="ar-SA"/>
        </w:rPr>
      </w:pPr>
      <w:r w:rsidRPr="00A41384">
        <w:rPr>
          <w:rFonts w:cs="Times New Roman"/>
          <w:color w:val="000000"/>
          <w:szCs w:val="24"/>
          <w:shd w:val="clear" w:color="auto" w:fill="FFFFFF"/>
        </w:rPr>
        <w:t>continuous current (temperature rise) test methods have been revised/clarified where necessary;</w:t>
      </w:r>
      <w:r w:rsidRPr="00A41384">
        <w:rPr>
          <w:rFonts w:cs="Times New Roman"/>
          <w:color w:val="000000"/>
          <w:szCs w:val="24"/>
        </w:rPr>
        <w:br/>
      </w:r>
      <w:r w:rsidRPr="00A41384">
        <w:rPr>
          <w:rFonts w:cs="Times New Roman"/>
          <w:color w:val="000000"/>
          <w:szCs w:val="24"/>
          <w:shd w:val="clear" w:color="auto" w:fill="FFFFFF"/>
        </w:rPr>
        <w:t>Figure D.1, which shows the mineral-oil-immersed power transformer load factor inside the enclosure, has been corrected.</w:t>
      </w:r>
    </w:p>
    <w:p w14:paraId="2E09B850" w14:textId="1311DD54" w:rsidR="007E0BED" w:rsidRDefault="007E0BED" w:rsidP="007E0BED">
      <w:pPr>
        <w:autoSpaceDE w:val="0"/>
        <w:autoSpaceDN w:val="0"/>
        <w:adjustRightInd w:val="0"/>
        <w:jc w:val="both"/>
        <w:rPr>
          <w:rFonts w:asciiTheme="minorHAnsi" w:hAnsiTheme="minorHAnsi" w:cstheme="minorHAnsi"/>
          <w:color w:val="000000"/>
        </w:rPr>
      </w:pPr>
    </w:p>
    <w:p w14:paraId="45F099EC" w14:textId="77777777" w:rsidR="007E0BED" w:rsidRPr="001E7B73" w:rsidRDefault="007E0BED" w:rsidP="007E0BED">
      <w:pPr>
        <w:jc w:val="both"/>
        <w:rPr>
          <w:rFonts w:cs="Times New Roman"/>
        </w:rPr>
      </w:pPr>
      <w:r w:rsidRPr="001E7B73">
        <w:rPr>
          <w:rFonts w:cs="Times New Roman"/>
        </w:rPr>
        <w:t>The text of IEC Standard has been approved as suitable for publication as an Indian Standard without deviations. Certain terminologies and conventions are, however, not identical to those used in Indian Standards.  Attention is particularly drawn to the following:</w:t>
      </w:r>
    </w:p>
    <w:p w14:paraId="3A4DC9CD" w14:textId="77777777" w:rsidR="007E0BED" w:rsidRPr="001E7B73" w:rsidRDefault="007E0BED" w:rsidP="007E0BED">
      <w:pPr>
        <w:ind w:left="720"/>
        <w:jc w:val="both"/>
        <w:rPr>
          <w:rFonts w:cs="Times New Roman"/>
        </w:rPr>
      </w:pPr>
    </w:p>
    <w:p w14:paraId="554399DC" w14:textId="77777777" w:rsidR="007E0BED" w:rsidRPr="001E7B73" w:rsidRDefault="007E0BED" w:rsidP="007E0BED">
      <w:pPr>
        <w:pStyle w:val="BodyText"/>
        <w:numPr>
          <w:ilvl w:val="0"/>
          <w:numId w:val="1"/>
        </w:numPr>
        <w:spacing w:after="0" w:line="240" w:lineRule="auto"/>
        <w:jc w:val="both"/>
        <w:rPr>
          <w:rFonts w:ascii="Times New Roman" w:hAnsi="Times New Roman"/>
          <w:sz w:val="24"/>
          <w:szCs w:val="24"/>
        </w:rPr>
      </w:pPr>
      <w:r w:rsidRPr="001E7B73">
        <w:rPr>
          <w:rFonts w:ascii="Times New Roman" w:hAnsi="Times New Roman"/>
          <w:sz w:val="24"/>
          <w:szCs w:val="24"/>
        </w:rPr>
        <w:t>Wherever the words ‘International Standard’ appear referring to this standard, they should be read as ‘Indian Standard’.</w:t>
      </w:r>
    </w:p>
    <w:p w14:paraId="1D726557" w14:textId="785E2CAA" w:rsidR="007E0BED" w:rsidRDefault="007E0BED" w:rsidP="007E0BED">
      <w:pPr>
        <w:numPr>
          <w:ilvl w:val="0"/>
          <w:numId w:val="1"/>
        </w:numPr>
        <w:jc w:val="both"/>
        <w:rPr>
          <w:rFonts w:cs="Times New Roman"/>
        </w:rPr>
      </w:pPr>
      <w:r w:rsidRPr="001E7B73">
        <w:rPr>
          <w:rFonts w:cs="Times New Roman"/>
        </w:rPr>
        <w:t>Comma (,) has been used as a decimal marker, while in Indian Standards the current practice is to use a point (.) as the decimal marker.</w:t>
      </w:r>
    </w:p>
    <w:p w14:paraId="49BE7C0F" w14:textId="2BAA2FA1" w:rsidR="005D0798" w:rsidRDefault="005D0798" w:rsidP="005D0798">
      <w:pPr>
        <w:ind w:left="360"/>
        <w:jc w:val="both"/>
        <w:rPr>
          <w:rFonts w:cs="Times New Roman"/>
        </w:rPr>
      </w:pPr>
    </w:p>
    <w:p w14:paraId="774D394D" w14:textId="3439FA58" w:rsidR="005D0798" w:rsidRDefault="005D0798" w:rsidP="005D0798">
      <w:pPr>
        <w:jc w:val="both"/>
      </w:pPr>
      <w: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2F45C867" w14:textId="2325E75E" w:rsidR="001F430D" w:rsidRDefault="001F430D" w:rsidP="005D0798">
      <w:pPr>
        <w:jc w:val="both"/>
      </w:pPr>
    </w:p>
    <w:p w14:paraId="283FEC47" w14:textId="37582241" w:rsidR="00FD00EB" w:rsidRDefault="00FD00EB" w:rsidP="005D0798">
      <w:pPr>
        <w:jc w:val="both"/>
      </w:pPr>
    </w:p>
    <w:tbl>
      <w:tblPr>
        <w:tblStyle w:val="TableGrid"/>
        <w:tblW w:w="0" w:type="auto"/>
        <w:tblLook w:val="04A0" w:firstRow="1" w:lastRow="0" w:firstColumn="1" w:lastColumn="0" w:noHBand="0" w:noVBand="1"/>
      </w:tblPr>
      <w:tblGrid>
        <w:gridCol w:w="3397"/>
        <w:gridCol w:w="4024"/>
        <w:gridCol w:w="2515"/>
      </w:tblGrid>
      <w:tr w:rsidR="00FD00EB" w14:paraId="50982CA9" w14:textId="77777777" w:rsidTr="00E14E4A">
        <w:tc>
          <w:tcPr>
            <w:tcW w:w="3397" w:type="dxa"/>
            <w:vAlign w:val="center"/>
          </w:tcPr>
          <w:p w14:paraId="7B4558FF" w14:textId="7C0065DE" w:rsidR="00FD00EB" w:rsidRPr="00FD00EB" w:rsidRDefault="00FD00EB" w:rsidP="00FD00EB">
            <w:pPr>
              <w:jc w:val="center"/>
              <w:rPr>
                <w:rFonts w:cs="Times New Roman"/>
                <w:i/>
              </w:rPr>
            </w:pPr>
            <w:r>
              <w:rPr>
                <w:rFonts w:cs="Times New Roman"/>
                <w:i/>
              </w:rPr>
              <w:t>International Standard</w:t>
            </w:r>
          </w:p>
        </w:tc>
        <w:tc>
          <w:tcPr>
            <w:tcW w:w="4024" w:type="dxa"/>
            <w:vAlign w:val="center"/>
          </w:tcPr>
          <w:p w14:paraId="2E743429" w14:textId="093F54A7" w:rsidR="00FD00EB" w:rsidRPr="00E14E4A" w:rsidRDefault="00FD00EB" w:rsidP="00E14E4A">
            <w:pPr>
              <w:jc w:val="center"/>
              <w:rPr>
                <w:rFonts w:cs="Times New Roman"/>
                <w:i/>
              </w:rPr>
            </w:pPr>
            <w:r w:rsidRPr="00E14E4A">
              <w:rPr>
                <w:rFonts w:cs="Times New Roman"/>
                <w:i/>
              </w:rPr>
              <w:t>Corresponding Indian Standard</w:t>
            </w:r>
          </w:p>
        </w:tc>
        <w:tc>
          <w:tcPr>
            <w:tcW w:w="2515" w:type="dxa"/>
            <w:vAlign w:val="center"/>
          </w:tcPr>
          <w:p w14:paraId="3B01D6BF" w14:textId="66B1442B" w:rsidR="00FD00EB" w:rsidRDefault="00FD00EB" w:rsidP="00FD00EB">
            <w:pPr>
              <w:jc w:val="center"/>
            </w:pPr>
            <w:r w:rsidRPr="00FD00EB">
              <w:rPr>
                <w:rFonts w:cs="Times New Roman"/>
                <w:i/>
              </w:rPr>
              <w:t>Degree of Equivalence</w:t>
            </w:r>
          </w:p>
        </w:tc>
      </w:tr>
      <w:tr w:rsidR="00FD00EB" w14:paraId="48A4484C" w14:textId="77777777" w:rsidTr="0071258F">
        <w:tc>
          <w:tcPr>
            <w:tcW w:w="3397" w:type="dxa"/>
          </w:tcPr>
          <w:p w14:paraId="2EC5914A" w14:textId="77777777" w:rsidR="008D4B9C" w:rsidRPr="008D4B9C" w:rsidRDefault="008D4B9C" w:rsidP="00E14E4A">
            <w:pPr>
              <w:jc w:val="both"/>
              <w:rPr>
                <w:rFonts w:eastAsiaTheme="minorHAnsi"/>
                <w:lang w:val="en-US" w:bidi="ar-SA"/>
              </w:rPr>
            </w:pPr>
            <w:r w:rsidRPr="008D4B9C">
              <w:rPr>
                <w:rFonts w:eastAsiaTheme="minorHAnsi"/>
                <w:lang w:val="en-US" w:bidi="ar-SA"/>
              </w:rPr>
              <w:t xml:space="preserve">IEC 60050-441, International </w:t>
            </w:r>
            <w:proofErr w:type="spellStart"/>
            <w:r w:rsidRPr="008D4B9C">
              <w:rPr>
                <w:rFonts w:eastAsiaTheme="minorHAnsi"/>
                <w:lang w:val="en-US" w:bidi="ar-SA"/>
              </w:rPr>
              <w:t>Electrotechnical</w:t>
            </w:r>
            <w:proofErr w:type="spellEnd"/>
            <w:r w:rsidRPr="008D4B9C">
              <w:rPr>
                <w:rFonts w:eastAsiaTheme="minorHAnsi"/>
                <w:lang w:val="en-US" w:bidi="ar-SA"/>
              </w:rPr>
              <w:t xml:space="preserve"> Vocabulary (IEV) – Part 441: Switchgear,</w:t>
            </w:r>
          </w:p>
          <w:p w14:paraId="25EED3E5" w14:textId="6C639CD2" w:rsidR="00FD00EB" w:rsidRPr="008D4B9C" w:rsidRDefault="008D4B9C" w:rsidP="00E14E4A">
            <w:pPr>
              <w:jc w:val="both"/>
            </w:pPr>
            <w:proofErr w:type="spellStart"/>
            <w:r w:rsidRPr="008D4B9C">
              <w:rPr>
                <w:rFonts w:eastAsiaTheme="minorHAnsi"/>
                <w:lang w:val="en-US" w:bidi="ar-SA"/>
              </w:rPr>
              <w:t>controlgear</w:t>
            </w:r>
            <w:proofErr w:type="spellEnd"/>
            <w:r w:rsidRPr="008D4B9C">
              <w:rPr>
                <w:rFonts w:eastAsiaTheme="minorHAnsi"/>
                <w:lang w:val="en-US" w:bidi="ar-SA"/>
              </w:rPr>
              <w:t xml:space="preserve"> and fuses (available at www.electropedia.org)</w:t>
            </w:r>
          </w:p>
        </w:tc>
        <w:tc>
          <w:tcPr>
            <w:tcW w:w="4024" w:type="dxa"/>
          </w:tcPr>
          <w:p w14:paraId="5643B734" w14:textId="697138A7" w:rsidR="00FD00EB" w:rsidRPr="00E14E4A" w:rsidRDefault="007F3111" w:rsidP="00E14E4A">
            <w:pPr>
              <w:jc w:val="both"/>
              <w:rPr>
                <w:rFonts w:eastAsiaTheme="minorHAnsi"/>
                <w:lang w:val="en-US" w:bidi="ar-SA"/>
              </w:rPr>
            </w:pPr>
            <w:r w:rsidRPr="00E14E4A">
              <w:rPr>
                <w:rFonts w:eastAsiaTheme="minorHAnsi"/>
                <w:lang w:val="en-US" w:bidi="ar-SA"/>
              </w:rPr>
              <w:t>IS 1885 (Part 17): 1979</w:t>
            </w:r>
            <w:r w:rsidR="00A41384">
              <w:rPr>
                <w:rFonts w:eastAsiaTheme="minorHAnsi"/>
                <w:lang w:val="en-US" w:bidi="ar-SA"/>
              </w:rPr>
              <w:t>/</w:t>
            </w:r>
            <w:r w:rsidR="00A41384">
              <w:rPr>
                <w:rFonts w:ascii="Segoe UI" w:hAnsi="Segoe UI" w:cs="Segoe UI"/>
                <w:b/>
                <w:bCs/>
                <w:color w:val="000000"/>
                <w:shd w:val="clear" w:color="auto" w:fill="FFFFFF"/>
              </w:rPr>
              <w:t xml:space="preserve"> </w:t>
            </w:r>
            <w:r w:rsidR="00A41384" w:rsidRPr="00A41384">
              <w:t>IEC 60050-441: 1984</w:t>
            </w:r>
            <w:r w:rsidRPr="00A41384">
              <w:rPr>
                <w:rFonts w:eastAsiaTheme="minorHAnsi"/>
              </w:rPr>
              <w:t xml:space="preserve"> </w:t>
            </w:r>
            <w:proofErr w:type="spellStart"/>
            <w:r w:rsidRPr="00E14E4A">
              <w:rPr>
                <w:rFonts w:eastAsiaTheme="minorHAnsi"/>
                <w:lang w:val="en-US" w:bidi="ar-SA"/>
              </w:rPr>
              <w:t>Electrotechnical</w:t>
            </w:r>
            <w:proofErr w:type="spellEnd"/>
            <w:r w:rsidRPr="00E14E4A">
              <w:rPr>
                <w:rFonts w:eastAsiaTheme="minorHAnsi"/>
                <w:lang w:val="en-US" w:bidi="ar-SA"/>
              </w:rPr>
              <w:t xml:space="preserve"> vocabulary: Part 17 switchgear and control gear (</w:t>
            </w:r>
            <w:r w:rsidR="00A41384">
              <w:rPr>
                <w:rFonts w:eastAsiaTheme="minorHAnsi"/>
                <w:i/>
                <w:lang w:val="en-US" w:bidi="ar-SA"/>
              </w:rPr>
              <w:t>Second</w:t>
            </w:r>
            <w:r w:rsidRPr="0071258F">
              <w:rPr>
                <w:rFonts w:eastAsiaTheme="minorHAnsi"/>
                <w:i/>
                <w:lang w:val="en-US" w:bidi="ar-SA"/>
              </w:rPr>
              <w:t xml:space="preserve"> Revision</w:t>
            </w:r>
            <w:r w:rsidRPr="00E14E4A">
              <w:rPr>
                <w:rFonts w:eastAsiaTheme="minorHAnsi"/>
                <w:lang w:val="en-US" w:bidi="ar-SA"/>
              </w:rPr>
              <w:t>)</w:t>
            </w:r>
          </w:p>
        </w:tc>
        <w:tc>
          <w:tcPr>
            <w:tcW w:w="2515" w:type="dxa"/>
            <w:vAlign w:val="center"/>
          </w:tcPr>
          <w:p w14:paraId="7ED83CE0" w14:textId="379756A1" w:rsidR="00FD00EB" w:rsidRDefault="007F3111" w:rsidP="0071258F">
            <w:pPr>
              <w:jc w:val="center"/>
            </w:pPr>
            <w:r>
              <w:t>Identical with IEC 60050-441</w:t>
            </w:r>
            <w:r w:rsidR="00A41384">
              <w:t>: 1984</w:t>
            </w:r>
          </w:p>
        </w:tc>
      </w:tr>
      <w:tr w:rsidR="00AA6D04" w14:paraId="67754ED0" w14:textId="77777777" w:rsidTr="0071258F">
        <w:tc>
          <w:tcPr>
            <w:tcW w:w="3397" w:type="dxa"/>
          </w:tcPr>
          <w:p w14:paraId="02AEA720" w14:textId="05E967E3" w:rsidR="00AA6D04" w:rsidRPr="008D4B9C" w:rsidRDefault="0071258F" w:rsidP="0071258F">
            <w:pPr>
              <w:jc w:val="both"/>
            </w:pPr>
            <w:r>
              <w:rPr>
                <w:rFonts w:eastAsiaTheme="minorHAnsi"/>
                <w:lang w:val="en-US" w:bidi="ar-SA"/>
              </w:rPr>
              <w:t xml:space="preserve">IEC </w:t>
            </w:r>
            <w:r w:rsidR="008D4B9C" w:rsidRPr="008D4B9C">
              <w:rPr>
                <w:rFonts w:eastAsiaTheme="minorHAnsi"/>
                <w:lang w:val="en-US" w:bidi="ar-SA"/>
              </w:rPr>
              <w:t xml:space="preserve">60050-461:2008, International </w:t>
            </w:r>
            <w:proofErr w:type="spellStart"/>
            <w:r w:rsidR="008D4B9C" w:rsidRPr="008D4B9C">
              <w:rPr>
                <w:rFonts w:eastAsiaTheme="minorHAnsi"/>
                <w:lang w:val="en-US" w:bidi="ar-SA"/>
              </w:rPr>
              <w:t>Electrotechnical</w:t>
            </w:r>
            <w:proofErr w:type="spellEnd"/>
            <w:r w:rsidR="008D4B9C" w:rsidRPr="008D4B9C">
              <w:rPr>
                <w:rFonts w:eastAsiaTheme="minorHAnsi"/>
                <w:lang w:val="en-US" w:bidi="ar-SA"/>
              </w:rPr>
              <w:t xml:space="preserve"> Vocabulary (IEV) – Part 461: Electric</w:t>
            </w:r>
            <w:r>
              <w:rPr>
                <w:rFonts w:eastAsiaTheme="minorHAnsi"/>
                <w:lang w:val="en-US" w:bidi="ar-SA"/>
              </w:rPr>
              <w:t xml:space="preserve"> </w:t>
            </w:r>
            <w:r w:rsidR="008D4B9C" w:rsidRPr="008D4B9C">
              <w:rPr>
                <w:rFonts w:eastAsiaTheme="minorHAnsi"/>
                <w:lang w:val="en-US" w:bidi="ar-SA"/>
              </w:rPr>
              <w:t>Cables</w:t>
            </w:r>
          </w:p>
        </w:tc>
        <w:tc>
          <w:tcPr>
            <w:tcW w:w="4024" w:type="dxa"/>
          </w:tcPr>
          <w:p w14:paraId="1E592016" w14:textId="6942D7A6" w:rsidR="007F3111" w:rsidRPr="00E14E4A" w:rsidRDefault="0071258F" w:rsidP="00E14E4A">
            <w:pPr>
              <w:jc w:val="both"/>
              <w:rPr>
                <w:rFonts w:eastAsiaTheme="minorHAnsi"/>
                <w:lang w:val="en-US" w:bidi="ar-SA"/>
              </w:rPr>
            </w:pPr>
            <w:r>
              <w:rPr>
                <w:rFonts w:eastAsiaTheme="minorHAnsi"/>
                <w:lang w:val="en-US" w:bidi="ar-SA"/>
              </w:rPr>
              <w:t>IS 1885 (Part 32)</w:t>
            </w:r>
            <w:r w:rsidR="007F3111" w:rsidRPr="00E14E4A">
              <w:rPr>
                <w:rFonts w:eastAsiaTheme="minorHAnsi"/>
                <w:lang w:val="en-US" w:bidi="ar-SA"/>
              </w:rPr>
              <w:t>: 2019</w:t>
            </w:r>
            <w:r w:rsidR="00A41384">
              <w:rPr>
                <w:rFonts w:eastAsiaTheme="minorHAnsi"/>
                <w:lang w:val="en-US" w:bidi="ar-SA"/>
              </w:rPr>
              <w:t xml:space="preserve">/ </w:t>
            </w:r>
            <w:r>
              <w:rPr>
                <w:rFonts w:eastAsiaTheme="minorHAnsi"/>
                <w:lang w:val="en-US" w:bidi="ar-SA"/>
              </w:rPr>
              <w:t>IEC 60050-461</w:t>
            </w:r>
            <w:r w:rsidR="007F3111" w:rsidRPr="00E14E4A">
              <w:rPr>
                <w:rFonts w:eastAsiaTheme="minorHAnsi"/>
                <w:lang w:val="en-US" w:bidi="ar-SA"/>
              </w:rPr>
              <w:t xml:space="preserve">: 2008 </w:t>
            </w:r>
            <w:proofErr w:type="spellStart"/>
            <w:r w:rsidR="007F3111" w:rsidRPr="00E14E4A">
              <w:rPr>
                <w:rFonts w:eastAsiaTheme="minorHAnsi"/>
                <w:lang w:val="en-US" w:bidi="ar-SA"/>
              </w:rPr>
              <w:t>Electrotechnical</w:t>
            </w:r>
            <w:proofErr w:type="spellEnd"/>
            <w:r w:rsidR="007F3111" w:rsidRPr="00E14E4A">
              <w:rPr>
                <w:rFonts w:eastAsiaTheme="minorHAnsi"/>
                <w:lang w:val="en-US" w:bidi="ar-SA"/>
              </w:rPr>
              <w:t xml:space="preserve"> Vocab</w:t>
            </w:r>
            <w:r w:rsidR="00E14E4A">
              <w:rPr>
                <w:rFonts w:eastAsiaTheme="minorHAnsi"/>
                <w:lang w:val="en-US" w:bidi="ar-SA"/>
              </w:rPr>
              <w:t>ulary Part 32 Electric Cables (</w:t>
            </w:r>
            <w:r w:rsidR="007F3111" w:rsidRPr="00E14E4A">
              <w:rPr>
                <w:rFonts w:eastAsiaTheme="minorHAnsi"/>
                <w:i/>
                <w:lang w:val="en-US" w:bidi="ar-SA"/>
              </w:rPr>
              <w:t>Second Revision</w:t>
            </w:r>
            <w:r w:rsidR="007F3111" w:rsidRPr="00E14E4A">
              <w:rPr>
                <w:rFonts w:eastAsiaTheme="minorHAnsi"/>
                <w:lang w:val="en-US" w:bidi="ar-SA"/>
              </w:rPr>
              <w:t>)</w:t>
            </w:r>
          </w:p>
          <w:p w14:paraId="014E189C" w14:textId="510C129F" w:rsidR="00AA6D04" w:rsidRPr="00E14E4A" w:rsidRDefault="00AA6D04" w:rsidP="00E14E4A">
            <w:pPr>
              <w:jc w:val="both"/>
              <w:rPr>
                <w:rFonts w:eastAsiaTheme="minorHAnsi"/>
                <w:lang w:val="en-US" w:bidi="ar-SA"/>
              </w:rPr>
            </w:pPr>
          </w:p>
        </w:tc>
        <w:tc>
          <w:tcPr>
            <w:tcW w:w="2515" w:type="dxa"/>
            <w:vAlign w:val="center"/>
          </w:tcPr>
          <w:p w14:paraId="2C12C752" w14:textId="619A55B3" w:rsidR="00AA6D04" w:rsidRDefault="007F3111" w:rsidP="0071258F">
            <w:pPr>
              <w:jc w:val="center"/>
            </w:pPr>
            <w:r>
              <w:t xml:space="preserve">Identical With </w:t>
            </w:r>
            <w:r w:rsidRPr="008D4B9C">
              <w:rPr>
                <w:rFonts w:eastAsiaTheme="minorHAnsi"/>
                <w:lang w:val="en-US" w:bidi="ar-SA"/>
              </w:rPr>
              <w:t>IEC 60050-461:2008</w:t>
            </w:r>
          </w:p>
        </w:tc>
      </w:tr>
      <w:tr w:rsidR="00AA6D04" w14:paraId="1942550D" w14:textId="77777777" w:rsidTr="0071258F">
        <w:tc>
          <w:tcPr>
            <w:tcW w:w="3397" w:type="dxa"/>
          </w:tcPr>
          <w:p w14:paraId="3B1F8185" w14:textId="38B74830" w:rsidR="00AA6D04" w:rsidRPr="008D4B9C" w:rsidRDefault="008D4B9C" w:rsidP="0071258F">
            <w:pPr>
              <w:jc w:val="both"/>
            </w:pPr>
            <w:r w:rsidRPr="008D4B9C">
              <w:rPr>
                <w:rFonts w:eastAsiaTheme="minorHAnsi"/>
                <w:lang w:val="en-US" w:bidi="ar-SA"/>
              </w:rPr>
              <w:t>IEC 60068-2-5:2018, Environmental t</w:t>
            </w:r>
            <w:r w:rsidR="007E22E7">
              <w:rPr>
                <w:rFonts w:eastAsiaTheme="minorHAnsi"/>
                <w:lang w:val="en-US" w:bidi="ar-SA"/>
              </w:rPr>
              <w:t>esting – Part 2-5: Tests – Tests</w:t>
            </w:r>
            <w:r w:rsidRPr="008D4B9C">
              <w:rPr>
                <w:rFonts w:eastAsiaTheme="minorHAnsi"/>
                <w:lang w:val="en-US" w:bidi="ar-SA"/>
              </w:rPr>
              <w:t>: Simulated solar radiation</w:t>
            </w:r>
            <w:r w:rsidR="0071258F">
              <w:rPr>
                <w:rFonts w:eastAsiaTheme="minorHAnsi"/>
                <w:lang w:val="en-US" w:bidi="ar-SA"/>
              </w:rPr>
              <w:t xml:space="preserve"> </w:t>
            </w:r>
            <w:r w:rsidRPr="008D4B9C">
              <w:rPr>
                <w:rFonts w:eastAsiaTheme="minorHAnsi"/>
                <w:lang w:val="en-US" w:bidi="ar-SA"/>
              </w:rPr>
              <w:t>at ground level and guidance for solar radiation testing and weathering</w:t>
            </w:r>
          </w:p>
        </w:tc>
        <w:tc>
          <w:tcPr>
            <w:tcW w:w="4024" w:type="dxa"/>
          </w:tcPr>
          <w:p w14:paraId="42B8A96D" w14:textId="69B692C6" w:rsidR="00AA6D04" w:rsidRPr="00E14E4A" w:rsidRDefault="00EB1964" w:rsidP="00EB1964">
            <w:pPr>
              <w:jc w:val="both"/>
              <w:rPr>
                <w:rFonts w:eastAsiaTheme="minorHAnsi"/>
                <w:lang w:val="en-US" w:bidi="ar-SA"/>
              </w:rPr>
            </w:pPr>
            <w:r>
              <w:rPr>
                <w:rFonts w:eastAsiaTheme="minorHAnsi"/>
                <w:lang w:val="en-US" w:bidi="ar-SA"/>
              </w:rPr>
              <w:t>IS/IEC 60068-2-5</w:t>
            </w:r>
            <w:r w:rsidR="007E22E7" w:rsidRPr="00E14E4A">
              <w:rPr>
                <w:rFonts w:eastAsiaTheme="minorHAnsi"/>
                <w:lang w:val="en-US" w:bidi="ar-SA"/>
              </w:rPr>
              <w:t>: 2018</w:t>
            </w:r>
            <w:r w:rsidR="007E22E7" w:rsidRPr="00E14E4A">
              <w:rPr>
                <w:rFonts w:eastAsiaTheme="minorHAnsi"/>
                <w:lang w:val="en-US" w:bidi="ar-SA"/>
              </w:rPr>
              <w:br/>
              <w:t>Environmental Testing Part 2 Tests Section 5 Test S: Simulated solar radiation at ground level and guidance for solar radiation testing and weathering</w:t>
            </w:r>
          </w:p>
        </w:tc>
        <w:tc>
          <w:tcPr>
            <w:tcW w:w="2515" w:type="dxa"/>
            <w:vAlign w:val="center"/>
          </w:tcPr>
          <w:p w14:paraId="414899D5" w14:textId="67CE0AF2" w:rsidR="00AA6D04" w:rsidRDefault="00BF7FD4" w:rsidP="0071258F">
            <w:pPr>
              <w:jc w:val="center"/>
            </w:pPr>
            <w:r>
              <w:rPr>
                <w:rFonts w:eastAsiaTheme="minorHAnsi"/>
                <w:lang w:val="en-US" w:bidi="ar-SA"/>
              </w:rPr>
              <w:t xml:space="preserve">Identical with </w:t>
            </w:r>
            <w:r w:rsidR="007F3111" w:rsidRPr="008D4B9C">
              <w:rPr>
                <w:rFonts w:eastAsiaTheme="minorHAnsi"/>
                <w:lang w:val="en-US" w:bidi="ar-SA"/>
              </w:rPr>
              <w:t>IEC 60068-2-5:2018</w:t>
            </w:r>
          </w:p>
        </w:tc>
      </w:tr>
      <w:tr w:rsidR="00AA6D04" w14:paraId="59123F79" w14:textId="77777777" w:rsidTr="0071258F">
        <w:tc>
          <w:tcPr>
            <w:tcW w:w="3397" w:type="dxa"/>
          </w:tcPr>
          <w:p w14:paraId="56E4A0A7" w14:textId="6B100CAC" w:rsidR="00AA6D04" w:rsidRPr="008D4B9C" w:rsidRDefault="008D4B9C" w:rsidP="00E14E4A">
            <w:pPr>
              <w:jc w:val="both"/>
            </w:pPr>
            <w:r w:rsidRPr="008D4B9C">
              <w:rPr>
                <w:rFonts w:eastAsiaTheme="minorHAnsi"/>
                <w:lang w:val="en-US" w:bidi="ar-SA"/>
              </w:rPr>
              <w:lastRenderedPageBreak/>
              <w:t>IEC 60071-1:2019, Insulation co-ordination – Part 1: Definitions, principles and rules</w:t>
            </w:r>
          </w:p>
        </w:tc>
        <w:tc>
          <w:tcPr>
            <w:tcW w:w="4024" w:type="dxa"/>
          </w:tcPr>
          <w:p w14:paraId="1BF41B8F" w14:textId="74BFC6BA" w:rsidR="00AA6D04" w:rsidRPr="00E14E4A" w:rsidRDefault="00EB1964" w:rsidP="00E14E4A">
            <w:pPr>
              <w:jc w:val="both"/>
              <w:rPr>
                <w:rFonts w:eastAsiaTheme="minorHAnsi"/>
                <w:lang w:val="en-US" w:bidi="ar-SA"/>
              </w:rPr>
            </w:pPr>
            <w:r>
              <w:rPr>
                <w:rFonts w:eastAsiaTheme="minorHAnsi"/>
                <w:lang w:val="en-US" w:bidi="ar-SA"/>
              </w:rPr>
              <w:t>IS/IEC 60071-1: 2019</w:t>
            </w:r>
            <w:r w:rsidR="007F3111" w:rsidRPr="00E14E4A">
              <w:rPr>
                <w:rFonts w:eastAsiaTheme="minorHAnsi"/>
                <w:lang w:val="en-US" w:bidi="ar-SA"/>
              </w:rPr>
              <w:t xml:space="preserve"> Insulation co - Ordination: Part 1 definitions, principles and rules</w:t>
            </w:r>
            <w:r>
              <w:rPr>
                <w:rFonts w:eastAsiaTheme="minorHAnsi"/>
                <w:lang w:val="en-US" w:bidi="ar-SA"/>
              </w:rPr>
              <w:t xml:space="preserve"> (</w:t>
            </w:r>
            <w:r>
              <w:rPr>
                <w:rFonts w:eastAsiaTheme="minorHAnsi"/>
                <w:i/>
                <w:lang w:val="en-US" w:bidi="ar-SA"/>
              </w:rPr>
              <w:t>First</w:t>
            </w:r>
            <w:r w:rsidRPr="00E14E4A">
              <w:rPr>
                <w:rFonts w:eastAsiaTheme="minorHAnsi"/>
                <w:i/>
                <w:lang w:val="en-US" w:bidi="ar-SA"/>
              </w:rPr>
              <w:t xml:space="preserve"> Revision</w:t>
            </w:r>
            <w:r w:rsidRPr="00E14E4A">
              <w:rPr>
                <w:rFonts w:eastAsiaTheme="minorHAnsi"/>
                <w:lang w:val="en-US" w:bidi="ar-SA"/>
              </w:rPr>
              <w:t>)</w:t>
            </w:r>
          </w:p>
        </w:tc>
        <w:tc>
          <w:tcPr>
            <w:tcW w:w="2515" w:type="dxa"/>
            <w:vAlign w:val="center"/>
          </w:tcPr>
          <w:p w14:paraId="7ED1FE35" w14:textId="6686E1FE" w:rsidR="00AA6D04" w:rsidRDefault="00BF7FD4" w:rsidP="0071258F">
            <w:pPr>
              <w:jc w:val="center"/>
            </w:pPr>
            <w:r>
              <w:rPr>
                <w:rFonts w:eastAsiaTheme="minorHAnsi"/>
                <w:lang w:val="en-US" w:bidi="ar-SA"/>
              </w:rPr>
              <w:t xml:space="preserve">Identical with </w:t>
            </w:r>
            <w:r w:rsidR="007F3111" w:rsidRPr="008D4B9C">
              <w:rPr>
                <w:rFonts w:eastAsiaTheme="minorHAnsi"/>
                <w:lang w:val="en-US" w:bidi="ar-SA"/>
              </w:rPr>
              <w:t>IEC 60071-1:2019</w:t>
            </w:r>
          </w:p>
        </w:tc>
      </w:tr>
      <w:tr w:rsidR="008D4B9C" w14:paraId="3F32E9F4" w14:textId="77777777" w:rsidTr="0071258F">
        <w:tc>
          <w:tcPr>
            <w:tcW w:w="3397" w:type="dxa"/>
          </w:tcPr>
          <w:p w14:paraId="555C79BF" w14:textId="788FD5D7" w:rsidR="008D4B9C" w:rsidRPr="008D4B9C" w:rsidRDefault="008D4B9C" w:rsidP="00E14E4A">
            <w:pPr>
              <w:jc w:val="both"/>
              <w:rPr>
                <w:rFonts w:eastAsiaTheme="minorHAnsi"/>
                <w:lang w:val="en-US" w:bidi="ar-SA"/>
              </w:rPr>
            </w:pPr>
            <w:r w:rsidRPr="008D4B9C">
              <w:rPr>
                <w:rFonts w:eastAsiaTheme="minorHAnsi"/>
                <w:lang w:val="en-US" w:bidi="ar-SA"/>
              </w:rPr>
              <w:t>IEC 60076-1:2011, Power transformers – Part 1: General</w:t>
            </w:r>
          </w:p>
        </w:tc>
        <w:tc>
          <w:tcPr>
            <w:tcW w:w="4024" w:type="dxa"/>
          </w:tcPr>
          <w:p w14:paraId="57B78288" w14:textId="6188FA2B" w:rsidR="008D4B9C" w:rsidRPr="00E14E4A" w:rsidRDefault="007F3111" w:rsidP="00E14E4A">
            <w:pPr>
              <w:jc w:val="both"/>
              <w:rPr>
                <w:rFonts w:eastAsiaTheme="minorHAnsi"/>
                <w:lang w:val="en-US" w:bidi="ar-SA"/>
              </w:rPr>
            </w:pPr>
            <w:r w:rsidRPr="00E14E4A">
              <w:rPr>
                <w:rFonts w:eastAsiaTheme="minorHAnsi"/>
                <w:lang w:val="en-US" w:bidi="ar-SA"/>
              </w:rPr>
              <w:t>IS 2026 (Part 1): 2011 Power transformers: Part 1 general (</w:t>
            </w:r>
            <w:r w:rsidRPr="0071258F">
              <w:rPr>
                <w:rFonts w:eastAsiaTheme="minorHAnsi"/>
                <w:i/>
                <w:lang w:val="en-US" w:bidi="ar-SA"/>
              </w:rPr>
              <w:t>Second Revision</w:t>
            </w:r>
            <w:r w:rsidRPr="00E14E4A">
              <w:rPr>
                <w:rFonts w:eastAsiaTheme="minorHAnsi"/>
                <w:lang w:val="en-US" w:bidi="ar-SA"/>
              </w:rPr>
              <w:t>)</w:t>
            </w:r>
          </w:p>
        </w:tc>
        <w:tc>
          <w:tcPr>
            <w:tcW w:w="2515" w:type="dxa"/>
            <w:vAlign w:val="center"/>
          </w:tcPr>
          <w:p w14:paraId="730D6F1A" w14:textId="5F98C5AE" w:rsidR="007F3111" w:rsidRPr="00E14E4A" w:rsidRDefault="007F3111" w:rsidP="0071258F">
            <w:pPr>
              <w:jc w:val="center"/>
              <w:rPr>
                <w:rFonts w:eastAsiaTheme="minorHAnsi"/>
                <w:lang w:val="en-US" w:bidi="ar-SA"/>
              </w:rPr>
            </w:pPr>
            <w:r w:rsidRPr="00E14E4A">
              <w:rPr>
                <w:rFonts w:eastAsiaTheme="minorHAnsi"/>
                <w:lang w:val="en-US" w:bidi="ar-SA"/>
              </w:rPr>
              <w:t>Technically Equivalent</w:t>
            </w:r>
          </w:p>
          <w:p w14:paraId="36178415" w14:textId="77777777" w:rsidR="008D4B9C" w:rsidRPr="00E14E4A" w:rsidRDefault="008D4B9C" w:rsidP="0071258F">
            <w:pPr>
              <w:jc w:val="center"/>
              <w:rPr>
                <w:rFonts w:eastAsiaTheme="minorHAnsi"/>
                <w:lang w:val="en-US" w:bidi="ar-SA"/>
              </w:rPr>
            </w:pPr>
          </w:p>
        </w:tc>
      </w:tr>
      <w:tr w:rsidR="008D4B9C" w14:paraId="79796503" w14:textId="77777777" w:rsidTr="0071258F">
        <w:tc>
          <w:tcPr>
            <w:tcW w:w="3397" w:type="dxa"/>
          </w:tcPr>
          <w:p w14:paraId="5A1783CE" w14:textId="7BCEB3ED" w:rsidR="008D4B9C" w:rsidRPr="008D4B9C" w:rsidRDefault="008D4B9C" w:rsidP="0071258F">
            <w:pPr>
              <w:jc w:val="both"/>
              <w:rPr>
                <w:rFonts w:eastAsiaTheme="minorHAnsi"/>
                <w:lang w:val="en-US" w:bidi="ar-SA"/>
              </w:rPr>
            </w:pPr>
            <w:r w:rsidRPr="008D4B9C">
              <w:rPr>
                <w:rFonts w:eastAsiaTheme="minorHAnsi"/>
                <w:lang w:val="en-US" w:bidi="ar-SA"/>
              </w:rPr>
              <w:t>IEC 60076-2:2011, Power transformers – Part 2: Temperature rise for liquid-immersed</w:t>
            </w:r>
            <w:r w:rsidR="0071258F">
              <w:rPr>
                <w:rFonts w:eastAsiaTheme="minorHAnsi"/>
                <w:lang w:val="en-US" w:bidi="ar-SA"/>
              </w:rPr>
              <w:t xml:space="preserve"> </w:t>
            </w:r>
            <w:r w:rsidRPr="008D4B9C">
              <w:rPr>
                <w:rFonts w:eastAsiaTheme="minorHAnsi"/>
                <w:lang w:val="en-US" w:bidi="ar-SA"/>
              </w:rPr>
              <w:t>Transformers</w:t>
            </w:r>
          </w:p>
        </w:tc>
        <w:tc>
          <w:tcPr>
            <w:tcW w:w="4024" w:type="dxa"/>
          </w:tcPr>
          <w:p w14:paraId="532849FB" w14:textId="3F2BB091" w:rsidR="008D4B9C" w:rsidRPr="00E14E4A" w:rsidRDefault="0071258F" w:rsidP="00E14E4A">
            <w:pPr>
              <w:jc w:val="both"/>
              <w:rPr>
                <w:rFonts w:eastAsiaTheme="minorHAnsi"/>
                <w:lang w:val="en-US" w:bidi="ar-SA"/>
              </w:rPr>
            </w:pPr>
            <w:r>
              <w:rPr>
                <w:rFonts w:eastAsiaTheme="minorHAnsi"/>
                <w:lang w:val="en-US" w:bidi="ar-SA"/>
              </w:rPr>
              <w:t>IS 2026 (Part 2)</w:t>
            </w:r>
            <w:r w:rsidR="007F3111" w:rsidRPr="00E14E4A">
              <w:rPr>
                <w:rFonts w:eastAsiaTheme="minorHAnsi"/>
                <w:lang w:val="en-US" w:bidi="ar-SA"/>
              </w:rPr>
              <w:t>: 2010 Power transformers: Part 2 temperature - Rise (</w:t>
            </w:r>
            <w:r w:rsidR="007F3111" w:rsidRPr="0071258F">
              <w:rPr>
                <w:rFonts w:eastAsiaTheme="minorHAnsi"/>
                <w:i/>
                <w:lang w:val="en-US" w:bidi="ar-SA"/>
              </w:rPr>
              <w:t>First Revision</w:t>
            </w:r>
            <w:r w:rsidR="007F3111" w:rsidRPr="00E14E4A">
              <w:rPr>
                <w:rFonts w:eastAsiaTheme="minorHAnsi"/>
                <w:lang w:val="en-US" w:bidi="ar-SA"/>
              </w:rPr>
              <w:t>)</w:t>
            </w:r>
          </w:p>
        </w:tc>
        <w:tc>
          <w:tcPr>
            <w:tcW w:w="2515" w:type="dxa"/>
            <w:vAlign w:val="center"/>
          </w:tcPr>
          <w:p w14:paraId="6E529B8A" w14:textId="02E4A072" w:rsidR="007F3111" w:rsidRPr="00E14E4A" w:rsidRDefault="007F3111" w:rsidP="0071258F">
            <w:pPr>
              <w:jc w:val="center"/>
              <w:rPr>
                <w:rFonts w:eastAsiaTheme="minorHAnsi"/>
                <w:lang w:val="en-US" w:bidi="ar-SA"/>
              </w:rPr>
            </w:pPr>
            <w:r w:rsidRPr="00E14E4A">
              <w:rPr>
                <w:rFonts w:eastAsiaTheme="minorHAnsi"/>
                <w:lang w:val="en-US" w:bidi="ar-SA"/>
              </w:rPr>
              <w:t>Technically Equivalent</w:t>
            </w:r>
          </w:p>
          <w:p w14:paraId="4BAAFB59" w14:textId="77777777" w:rsidR="008D4B9C" w:rsidRPr="00E14E4A" w:rsidRDefault="008D4B9C" w:rsidP="0071258F">
            <w:pPr>
              <w:jc w:val="center"/>
              <w:rPr>
                <w:rFonts w:eastAsiaTheme="minorHAnsi"/>
                <w:lang w:val="en-US" w:bidi="ar-SA"/>
              </w:rPr>
            </w:pPr>
          </w:p>
        </w:tc>
      </w:tr>
      <w:tr w:rsidR="007F3111" w14:paraId="460A4004" w14:textId="77777777" w:rsidTr="0071258F">
        <w:tc>
          <w:tcPr>
            <w:tcW w:w="3397" w:type="dxa"/>
          </w:tcPr>
          <w:p w14:paraId="42375467" w14:textId="3236187E" w:rsidR="007F3111" w:rsidRPr="008D4B9C" w:rsidRDefault="007F3111" w:rsidP="00E14E4A">
            <w:pPr>
              <w:jc w:val="both"/>
              <w:rPr>
                <w:rFonts w:eastAsiaTheme="minorHAnsi"/>
                <w:lang w:val="en-US" w:bidi="ar-SA"/>
              </w:rPr>
            </w:pPr>
            <w:r w:rsidRPr="008D4B9C">
              <w:rPr>
                <w:rFonts w:eastAsiaTheme="minorHAnsi"/>
                <w:lang w:val="en-US" w:bidi="ar-SA"/>
              </w:rPr>
              <w:t>IEC 60076-5:2006, Power transformers – Part 5: Ability to withstand short circuit</w:t>
            </w:r>
          </w:p>
        </w:tc>
        <w:tc>
          <w:tcPr>
            <w:tcW w:w="4024" w:type="dxa"/>
          </w:tcPr>
          <w:p w14:paraId="3175B691" w14:textId="1F3BB30C" w:rsidR="007F3111" w:rsidRPr="00E14E4A" w:rsidRDefault="0071258F" w:rsidP="00E14E4A">
            <w:pPr>
              <w:jc w:val="both"/>
              <w:rPr>
                <w:rFonts w:eastAsiaTheme="minorHAnsi"/>
                <w:lang w:val="en-US" w:bidi="ar-SA"/>
              </w:rPr>
            </w:pPr>
            <w:r>
              <w:rPr>
                <w:rFonts w:eastAsiaTheme="minorHAnsi"/>
                <w:lang w:val="en-US" w:bidi="ar-SA"/>
              </w:rPr>
              <w:t>IS 2026 (Part 5)</w:t>
            </w:r>
            <w:r w:rsidR="007F3111" w:rsidRPr="00E14E4A">
              <w:rPr>
                <w:rFonts w:eastAsiaTheme="minorHAnsi"/>
                <w:lang w:val="en-US" w:bidi="ar-SA"/>
              </w:rPr>
              <w:t>: 2011 Power transformers: Part 5 ability to with stand short circuit (</w:t>
            </w:r>
            <w:r w:rsidR="007F3111" w:rsidRPr="0071258F">
              <w:rPr>
                <w:rFonts w:eastAsiaTheme="minorHAnsi"/>
                <w:i/>
                <w:lang w:val="en-US" w:bidi="ar-SA"/>
              </w:rPr>
              <w:t>First Revision</w:t>
            </w:r>
            <w:r w:rsidR="007F3111" w:rsidRPr="00E14E4A">
              <w:rPr>
                <w:rFonts w:eastAsiaTheme="minorHAnsi"/>
                <w:lang w:val="en-US" w:bidi="ar-SA"/>
              </w:rPr>
              <w:t>)</w:t>
            </w:r>
          </w:p>
          <w:p w14:paraId="5FADC371" w14:textId="49D10272" w:rsidR="007F3111" w:rsidRPr="00E14E4A" w:rsidRDefault="007F3111" w:rsidP="00E14E4A">
            <w:pPr>
              <w:jc w:val="both"/>
              <w:rPr>
                <w:rFonts w:eastAsiaTheme="minorHAnsi"/>
                <w:lang w:val="en-US" w:bidi="ar-SA"/>
              </w:rPr>
            </w:pPr>
          </w:p>
        </w:tc>
        <w:tc>
          <w:tcPr>
            <w:tcW w:w="2515" w:type="dxa"/>
            <w:vAlign w:val="center"/>
          </w:tcPr>
          <w:p w14:paraId="4AC50FEF" w14:textId="17EBEF09" w:rsidR="007F3111" w:rsidRPr="00E14E4A" w:rsidRDefault="007F3111" w:rsidP="0071258F">
            <w:pPr>
              <w:jc w:val="center"/>
              <w:rPr>
                <w:rFonts w:eastAsiaTheme="minorHAnsi"/>
                <w:lang w:val="en-US" w:bidi="ar-SA"/>
              </w:rPr>
            </w:pPr>
            <w:r w:rsidRPr="00E14E4A">
              <w:rPr>
                <w:rFonts w:eastAsiaTheme="minorHAnsi"/>
                <w:lang w:val="en-US" w:bidi="ar-SA"/>
              </w:rPr>
              <w:t>Technically Equivalent</w:t>
            </w:r>
          </w:p>
          <w:p w14:paraId="282F9F98" w14:textId="77777777" w:rsidR="007F3111" w:rsidRPr="00E14E4A" w:rsidRDefault="007F3111" w:rsidP="0071258F">
            <w:pPr>
              <w:jc w:val="center"/>
              <w:rPr>
                <w:rFonts w:eastAsiaTheme="minorHAnsi"/>
                <w:lang w:val="en-US" w:bidi="ar-SA"/>
              </w:rPr>
            </w:pPr>
          </w:p>
        </w:tc>
      </w:tr>
      <w:tr w:rsidR="007F3111" w14:paraId="33B9FB7F" w14:textId="77777777" w:rsidTr="0071258F">
        <w:tc>
          <w:tcPr>
            <w:tcW w:w="3397" w:type="dxa"/>
          </w:tcPr>
          <w:p w14:paraId="7A3D5F74" w14:textId="0B2C6173" w:rsidR="007F3111" w:rsidRPr="008D4B9C" w:rsidRDefault="007F3111" w:rsidP="0071258F">
            <w:pPr>
              <w:jc w:val="both"/>
              <w:rPr>
                <w:rFonts w:eastAsiaTheme="minorHAnsi"/>
                <w:lang w:val="en-US" w:bidi="ar-SA"/>
              </w:rPr>
            </w:pPr>
            <w:r w:rsidRPr="008D4B9C">
              <w:rPr>
                <w:rFonts w:eastAsiaTheme="minorHAnsi"/>
                <w:lang w:val="en-US" w:bidi="ar-SA"/>
              </w:rPr>
              <w:t>IEC 60076-7:2018, Power transformers – Part 7: Loading guide for mineral-oil-immersed power</w:t>
            </w:r>
            <w:r w:rsidR="0071258F">
              <w:rPr>
                <w:rFonts w:eastAsiaTheme="minorHAnsi"/>
                <w:lang w:val="en-US" w:bidi="ar-SA"/>
              </w:rPr>
              <w:t xml:space="preserve"> </w:t>
            </w:r>
            <w:r w:rsidRPr="008D4B9C">
              <w:rPr>
                <w:rFonts w:eastAsiaTheme="minorHAnsi"/>
                <w:lang w:val="en-US" w:bidi="ar-SA"/>
              </w:rPr>
              <w:t>Transformers</w:t>
            </w:r>
          </w:p>
        </w:tc>
        <w:tc>
          <w:tcPr>
            <w:tcW w:w="4024" w:type="dxa"/>
          </w:tcPr>
          <w:p w14:paraId="3542E49E" w14:textId="051A2874" w:rsidR="007F3111" w:rsidRPr="0071258F" w:rsidRDefault="0071258F" w:rsidP="00E14E4A">
            <w:pPr>
              <w:jc w:val="both"/>
              <w:rPr>
                <w:rFonts w:eastAsiaTheme="minorHAnsi"/>
                <w:lang w:val="en-US" w:bidi="ar-SA"/>
              </w:rPr>
            </w:pPr>
            <w:r w:rsidRPr="00EB1964">
              <w:rPr>
                <w:rFonts w:eastAsiaTheme="minorHAnsi"/>
                <w:lang w:val="en-US" w:bidi="ar-SA"/>
              </w:rPr>
              <w:t>IS 2026 (Part 7)</w:t>
            </w:r>
            <w:r w:rsidR="007F3111" w:rsidRPr="00EB1964">
              <w:rPr>
                <w:rFonts w:eastAsiaTheme="minorHAnsi"/>
                <w:lang w:val="en-US" w:bidi="ar-SA"/>
              </w:rPr>
              <w:t>: 2009</w:t>
            </w:r>
            <w:r w:rsidR="00EB1964" w:rsidRPr="00EB1964">
              <w:rPr>
                <w:rFonts w:eastAsiaTheme="minorHAnsi"/>
                <w:lang w:val="en-US" w:bidi="ar-SA"/>
              </w:rPr>
              <w:t>/</w:t>
            </w:r>
            <w:r w:rsidR="007F3111" w:rsidRPr="00EB1964">
              <w:rPr>
                <w:rFonts w:eastAsiaTheme="minorHAnsi"/>
                <w:lang w:val="en-US" w:bidi="ar-SA"/>
              </w:rPr>
              <w:br/>
              <w:t>IEC 60076-7</w:t>
            </w:r>
            <w:r w:rsidR="00EB1964" w:rsidRPr="00EB1964">
              <w:rPr>
                <w:rFonts w:eastAsiaTheme="minorHAnsi"/>
                <w:lang w:val="en-US" w:bidi="ar-SA"/>
              </w:rPr>
              <w:t>: 2018</w:t>
            </w:r>
            <w:r w:rsidR="007F3111" w:rsidRPr="00EB1964">
              <w:rPr>
                <w:rFonts w:eastAsiaTheme="minorHAnsi"/>
                <w:lang w:val="en-US" w:bidi="ar-SA"/>
              </w:rPr>
              <w:t xml:space="preserve"> Power transformers: Part 7 loading guide for oil - Immersed power transformers</w:t>
            </w:r>
          </w:p>
          <w:p w14:paraId="1F83E4E5" w14:textId="0F57D8B7" w:rsidR="007F3111" w:rsidRPr="0071258F" w:rsidRDefault="007F3111" w:rsidP="00E14E4A">
            <w:pPr>
              <w:jc w:val="both"/>
              <w:rPr>
                <w:color w:val="FF0000"/>
                <w:highlight w:val="yellow"/>
              </w:rPr>
            </w:pPr>
          </w:p>
        </w:tc>
        <w:tc>
          <w:tcPr>
            <w:tcW w:w="2515" w:type="dxa"/>
            <w:vAlign w:val="center"/>
          </w:tcPr>
          <w:p w14:paraId="21F0F37E" w14:textId="513DF9E6" w:rsidR="007F3111" w:rsidRDefault="00BF7FD4" w:rsidP="0071258F">
            <w:pPr>
              <w:jc w:val="center"/>
            </w:pPr>
            <w:r>
              <w:rPr>
                <w:rFonts w:eastAsiaTheme="minorHAnsi"/>
                <w:lang w:val="en-US" w:bidi="ar-SA"/>
              </w:rPr>
              <w:t xml:space="preserve">Identical with </w:t>
            </w:r>
            <w:r w:rsidR="007E22E7" w:rsidRPr="008D4B9C">
              <w:rPr>
                <w:rFonts w:eastAsiaTheme="minorHAnsi"/>
                <w:lang w:val="en-US" w:bidi="ar-SA"/>
              </w:rPr>
              <w:t>IEC 60076-7:2018</w:t>
            </w:r>
          </w:p>
        </w:tc>
      </w:tr>
      <w:tr w:rsidR="007F3111" w14:paraId="7E920480" w14:textId="77777777" w:rsidTr="0071258F">
        <w:tc>
          <w:tcPr>
            <w:tcW w:w="3397" w:type="dxa"/>
          </w:tcPr>
          <w:p w14:paraId="16ADBB49" w14:textId="34C0C9CE" w:rsidR="007F3111" w:rsidRPr="008D4B9C" w:rsidRDefault="007F3111" w:rsidP="00E14E4A">
            <w:pPr>
              <w:jc w:val="both"/>
              <w:rPr>
                <w:rFonts w:eastAsiaTheme="minorHAnsi"/>
                <w:lang w:val="en-US" w:bidi="ar-SA"/>
              </w:rPr>
            </w:pPr>
            <w:r w:rsidRPr="008D4B9C">
              <w:rPr>
                <w:rFonts w:eastAsiaTheme="minorHAnsi"/>
                <w:lang w:val="en-US" w:bidi="ar-SA"/>
              </w:rPr>
              <w:t>IEC 60076-10:2016, Power transformers – Part 10: Determination of sound levels</w:t>
            </w:r>
          </w:p>
        </w:tc>
        <w:tc>
          <w:tcPr>
            <w:tcW w:w="4024" w:type="dxa"/>
          </w:tcPr>
          <w:p w14:paraId="21F6A488" w14:textId="0C046DC8" w:rsidR="007F3111" w:rsidRPr="00E14E4A" w:rsidRDefault="00EB1964" w:rsidP="00E14E4A">
            <w:pPr>
              <w:jc w:val="both"/>
              <w:rPr>
                <w:rFonts w:eastAsiaTheme="minorHAnsi"/>
                <w:lang w:val="en-US" w:bidi="ar-SA"/>
              </w:rPr>
            </w:pPr>
            <w:r>
              <w:rPr>
                <w:rFonts w:eastAsiaTheme="minorHAnsi"/>
                <w:lang w:val="en-US" w:bidi="ar-SA"/>
              </w:rPr>
              <w:t>IS 2026 (Part 10): 2009</w:t>
            </w:r>
            <w:r>
              <w:rPr>
                <w:rFonts w:eastAsiaTheme="minorHAnsi"/>
                <w:lang w:val="en-US" w:bidi="ar-SA"/>
              </w:rPr>
              <w:br/>
              <w:t>IEC 60076 -10: 2001</w:t>
            </w:r>
            <w:r w:rsidR="007E22E7" w:rsidRPr="00E14E4A">
              <w:rPr>
                <w:rFonts w:eastAsiaTheme="minorHAnsi"/>
                <w:lang w:val="en-US" w:bidi="ar-SA"/>
              </w:rPr>
              <w:t xml:space="preserve"> Power transformers: Part 10 determination of sound levels</w:t>
            </w:r>
          </w:p>
        </w:tc>
        <w:tc>
          <w:tcPr>
            <w:tcW w:w="2515" w:type="dxa"/>
            <w:vAlign w:val="center"/>
          </w:tcPr>
          <w:p w14:paraId="0E12B40D" w14:textId="55B0FF29" w:rsidR="007F3111" w:rsidRDefault="00BF7FD4" w:rsidP="0071258F">
            <w:pPr>
              <w:jc w:val="center"/>
            </w:pPr>
            <w:r>
              <w:rPr>
                <w:rFonts w:eastAsiaTheme="minorHAnsi"/>
                <w:lang w:val="en-US" w:bidi="ar-SA"/>
              </w:rPr>
              <w:t xml:space="preserve">Identical with </w:t>
            </w:r>
            <w:r w:rsidR="00EB1964">
              <w:rPr>
                <w:rFonts w:eastAsiaTheme="minorHAnsi"/>
                <w:lang w:val="en-US" w:bidi="ar-SA"/>
              </w:rPr>
              <w:t>IEC 60076-10:2001</w:t>
            </w:r>
          </w:p>
        </w:tc>
      </w:tr>
      <w:tr w:rsidR="007F3111" w14:paraId="59B5F03F" w14:textId="77777777" w:rsidTr="0071258F">
        <w:tc>
          <w:tcPr>
            <w:tcW w:w="3397" w:type="dxa"/>
          </w:tcPr>
          <w:p w14:paraId="44560B12" w14:textId="2D3851BD" w:rsidR="007F3111" w:rsidRPr="008D4B9C" w:rsidRDefault="007F3111" w:rsidP="00E14E4A">
            <w:pPr>
              <w:jc w:val="both"/>
              <w:rPr>
                <w:rFonts w:eastAsiaTheme="minorHAnsi"/>
                <w:lang w:val="en-US" w:bidi="ar-SA"/>
              </w:rPr>
            </w:pPr>
            <w:r w:rsidRPr="008D4B9C">
              <w:rPr>
                <w:rFonts w:eastAsiaTheme="minorHAnsi"/>
                <w:lang w:val="en-US" w:bidi="ar-SA"/>
              </w:rPr>
              <w:t>IEC 60076-11:2018, Power transformers – Part 11: Dry-type transformers</w:t>
            </w:r>
          </w:p>
        </w:tc>
        <w:tc>
          <w:tcPr>
            <w:tcW w:w="4024" w:type="dxa"/>
          </w:tcPr>
          <w:p w14:paraId="33F39DBD" w14:textId="0239B212" w:rsidR="007F3111" w:rsidRPr="00E14E4A" w:rsidRDefault="007E22E7" w:rsidP="00E14E4A">
            <w:pPr>
              <w:jc w:val="both"/>
              <w:rPr>
                <w:rFonts w:eastAsiaTheme="minorHAnsi"/>
                <w:lang w:val="en-US" w:bidi="ar-SA"/>
              </w:rPr>
            </w:pPr>
            <w:r w:rsidRPr="00E14E4A">
              <w:rPr>
                <w:rFonts w:eastAsiaTheme="minorHAnsi"/>
                <w:lang w:val="en-US" w:bidi="ar-SA"/>
              </w:rPr>
              <w:t>IS 202</w:t>
            </w:r>
            <w:r w:rsidR="0071258F">
              <w:rPr>
                <w:rFonts w:eastAsiaTheme="minorHAnsi"/>
                <w:lang w:val="en-US" w:bidi="ar-SA"/>
              </w:rPr>
              <w:t>6 (Part 11): 2021</w:t>
            </w:r>
            <w:r w:rsidR="00EB1964">
              <w:rPr>
                <w:rFonts w:eastAsiaTheme="minorHAnsi"/>
                <w:lang w:val="en-US" w:bidi="ar-SA"/>
              </w:rPr>
              <w:t>/</w:t>
            </w:r>
            <w:r w:rsidR="0071258F">
              <w:rPr>
                <w:rFonts w:eastAsiaTheme="minorHAnsi"/>
                <w:lang w:val="en-US" w:bidi="ar-SA"/>
              </w:rPr>
              <w:br/>
              <w:t>IEC 60076-11</w:t>
            </w:r>
            <w:r w:rsidRPr="00E14E4A">
              <w:rPr>
                <w:rFonts w:eastAsiaTheme="minorHAnsi"/>
                <w:lang w:val="en-US" w:bidi="ar-SA"/>
              </w:rPr>
              <w:t>: 2018 Power Transformers Part 11 Dry-Type Transformers</w:t>
            </w:r>
          </w:p>
        </w:tc>
        <w:tc>
          <w:tcPr>
            <w:tcW w:w="2515" w:type="dxa"/>
            <w:vAlign w:val="center"/>
          </w:tcPr>
          <w:p w14:paraId="23F71A3A" w14:textId="518B10FA"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7E22E7" w:rsidRPr="008D4B9C">
              <w:rPr>
                <w:rFonts w:eastAsiaTheme="minorHAnsi"/>
                <w:lang w:val="en-US" w:bidi="ar-SA"/>
              </w:rPr>
              <w:t>IEC 60076-11:2018</w:t>
            </w:r>
          </w:p>
        </w:tc>
      </w:tr>
      <w:tr w:rsidR="007F3111" w14:paraId="739D7F4B" w14:textId="77777777" w:rsidTr="0071258F">
        <w:tc>
          <w:tcPr>
            <w:tcW w:w="3397" w:type="dxa"/>
          </w:tcPr>
          <w:p w14:paraId="06E74DCA" w14:textId="77777777" w:rsidR="007F3111" w:rsidRPr="008D4B9C" w:rsidRDefault="007F3111" w:rsidP="00E14E4A">
            <w:pPr>
              <w:jc w:val="both"/>
              <w:rPr>
                <w:rFonts w:eastAsiaTheme="minorHAnsi"/>
                <w:lang w:val="en-US" w:bidi="ar-SA"/>
              </w:rPr>
            </w:pPr>
            <w:r w:rsidRPr="008D4B9C">
              <w:rPr>
                <w:rFonts w:eastAsiaTheme="minorHAnsi"/>
                <w:lang w:val="en-US" w:bidi="ar-SA"/>
              </w:rPr>
              <w:t>IEC 60076-12:2008, Power transformers – Part 12: Loading guide for dry-type power</w:t>
            </w:r>
          </w:p>
          <w:p w14:paraId="201B5A90" w14:textId="2C03C2D3" w:rsidR="007F3111" w:rsidRPr="008D4B9C" w:rsidRDefault="007F3111" w:rsidP="00E14E4A">
            <w:pPr>
              <w:jc w:val="both"/>
              <w:rPr>
                <w:rFonts w:eastAsiaTheme="minorHAnsi"/>
                <w:lang w:val="en-US" w:bidi="ar-SA"/>
              </w:rPr>
            </w:pPr>
            <w:r w:rsidRPr="008D4B9C">
              <w:rPr>
                <w:rFonts w:eastAsiaTheme="minorHAnsi"/>
                <w:lang w:val="en-US" w:bidi="ar-SA"/>
              </w:rPr>
              <w:t>Transformers</w:t>
            </w:r>
          </w:p>
        </w:tc>
        <w:tc>
          <w:tcPr>
            <w:tcW w:w="4024" w:type="dxa"/>
          </w:tcPr>
          <w:p w14:paraId="546E09AC" w14:textId="7A711EC6" w:rsidR="007F3111" w:rsidRPr="00E14E4A" w:rsidRDefault="007E22E7" w:rsidP="00E14E4A">
            <w:pPr>
              <w:jc w:val="both"/>
              <w:rPr>
                <w:rFonts w:eastAsiaTheme="minorHAnsi"/>
                <w:lang w:val="en-US" w:bidi="ar-SA"/>
              </w:rPr>
            </w:pPr>
            <w:r w:rsidRPr="00E14E4A">
              <w:rPr>
                <w:rFonts w:eastAsiaTheme="minorHAnsi"/>
                <w:lang w:val="en-US" w:bidi="ar-SA"/>
              </w:rPr>
              <w:t>IS 202</w:t>
            </w:r>
            <w:r w:rsidR="0071258F">
              <w:rPr>
                <w:rFonts w:eastAsiaTheme="minorHAnsi"/>
                <w:lang w:val="en-US" w:bidi="ar-SA"/>
              </w:rPr>
              <w:t>6 (Part 12): 2018</w:t>
            </w:r>
            <w:r w:rsidR="00EB1964">
              <w:rPr>
                <w:rFonts w:eastAsiaTheme="minorHAnsi"/>
                <w:lang w:val="en-US" w:bidi="ar-SA"/>
              </w:rPr>
              <w:t>/</w:t>
            </w:r>
            <w:r w:rsidR="0071258F">
              <w:rPr>
                <w:rFonts w:eastAsiaTheme="minorHAnsi"/>
                <w:lang w:val="en-US" w:bidi="ar-SA"/>
              </w:rPr>
              <w:br/>
              <w:t>IEC 60076-12</w:t>
            </w:r>
            <w:r w:rsidRPr="00E14E4A">
              <w:rPr>
                <w:rFonts w:eastAsiaTheme="minorHAnsi"/>
                <w:lang w:val="en-US" w:bidi="ar-SA"/>
              </w:rPr>
              <w:t>: 2008 Power transformers: Part 12 loading guide for dry - Type power transformers</w:t>
            </w:r>
          </w:p>
        </w:tc>
        <w:tc>
          <w:tcPr>
            <w:tcW w:w="2515" w:type="dxa"/>
            <w:vAlign w:val="center"/>
          </w:tcPr>
          <w:p w14:paraId="1C75F0A4" w14:textId="5F172587"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7E22E7" w:rsidRPr="008D4B9C">
              <w:rPr>
                <w:rFonts w:eastAsiaTheme="minorHAnsi"/>
                <w:lang w:val="en-US" w:bidi="ar-SA"/>
              </w:rPr>
              <w:t>IEC 60076-12:2008</w:t>
            </w:r>
          </w:p>
        </w:tc>
      </w:tr>
      <w:tr w:rsidR="007F3111" w14:paraId="79F84855" w14:textId="77777777" w:rsidTr="0071258F">
        <w:tc>
          <w:tcPr>
            <w:tcW w:w="3397" w:type="dxa"/>
          </w:tcPr>
          <w:p w14:paraId="6C5396DD" w14:textId="162BE2F1" w:rsidR="007F3111" w:rsidRPr="008D4B9C" w:rsidRDefault="007F3111" w:rsidP="00E14E4A">
            <w:pPr>
              <w:jc w:val="both"/>
              <w:rPr>
                <w:rFonts w:eastAsiaTheme="minorHAnsi"/>
                <w:lang w:val="en-US" w:bidi="ar-SA"/>
              </w:rPr>
            </w:pPr>
            <w:r w:rsidRPr="008D4B9C">
              <w:rPr>
                <w:rFonts w:eastAsiaTheme="minorHAnsi"/>
                <w:lang w:val="en-US" w:bidi="ar-SA"/>
              </w:rPr>
              <w:t>IEC 60529:1989, Degrees of protection provided by enclosures (IP Code)</w:t>
            </w:r>
            <w:r w:rsidR="0071258F">
              <w:rPr>
                <w:rFonts w:eastAsiaTheme="minorHAnsi"/>
                <w:lang w:val="en-US" w:bidi="ar-SA"/>
              </w:rPr>
              <w:t xml:space="preserve"> </w:t>
            </w:r>
            <w:r w:rsidRPr="008D4B9C">
              <w:rPr>
                <w:rFonts w:eastAsiaTheme="minorHAnsi"/>
                <w:lang w:val="en-US" w:bidi="ar-SA"/>
              </w:rPr>
              <w:t>IEC 60529:1989/AMD1:1999</w:t>
            </w:r>
          </w:p>
          <w:p w14:paraId="70A88D96" w14:textId="5DCF93B8" w:rsidR="007F3111" w:rsidRPr="008D4B9C" w:rsidRDefault="007F3111" w:rsidP="00E14E4A">
            <w:pPr>
              <w:jc w:val="both"/>
              <w:rPr>
                <w:rFonts w:eastAsiaTheme="minorHAnsi"/>
                <w:lang w:val="en-US" w:bidi="ar-SA"/>
              </w:rPr>
            </w:pPr>
            <w:r w:rsidRPr="008D4B9C">
              <w:rPr>
                <w:rFonts w:eastAsiaTheme="minorHAnsi"/>
                <w:lang w:val="en-US" w:bidi="ar-SA"/>
              </w:rPr>
              <w:t>IEC 60529:1989/AMD2:2013</w:t>
            </w:r>
          </w:p>
        </w:tc>
        <w:tc>
          <w:tcPr>
            <w:tcW w:w="4024" w:type="dxa"/>
            <w:vAlign w:val="center"/>
          </w:tcPr>
          <w:p w14:paraId="749F3ECC" w14:textId="278521D7" w:rsidR="007E22E7" w:rsidRPr="00E14E4A" w:rsidRDefault="0071258F" w:rsidP="0071258F">
            <w:pPr>
              <w:rPr>
                <w:rFonts w:eastAsiaTheme="minorHAnsi"/>
                <w:lang w:val="en-US" w:bidi="ar-SA"/>
              </w:rPr>
            </w:pPr>
            <w:r>
              <w:rPr>
                <w:rFonts w:eastAsiaTheme="minorHAnsi"/>
                <w:lang w:val="en-US" w:bidi="ar-SA"/>
              </w:rPr>
              <w:t>IS/IEC 60529</w:t>
            </w:r>
            <w:r w:rsidR="007E22E7" w:rsidRPr="00E14E4A">
              <w:rPr>
                <w:rFonts w:eastAsiaTheme="minorHAnsi"/>
                <w:lang w:val="en-US" w:bidi="ar-SA"/>
              </w:rPr>
              <w:t>: 2001 Degrees of protection provided by enclosures (IP Code)</w:t>
            </w:r>
          </w:p>
          <w:p w14:paraId="0D4C9E91" w14:textId="2F48DD99" w:rsidR="007F3111" w:rsidRPr="00E14E4A" w:rsidRDefault="007F3111" w:rsidP="0071258F">
            <w:pPr>
              <w:rPr>
                <w:rFonts w:eastAsiaTheme="minorHAnsi"/>
                <w:lang w:val="en-US" w:bidi="ar-SA"/>
              </w:rPr>
            </w:pPr>
          </w:p>
        </w:tc>
        <w:tc>
          <w:tcPr>
            <w:tcW w:w="2515" w:type="dxa"/>
            <w:vAlign w:val="center"/>
          </w:tcPr>
          <w:p w14:paraId="4F6BE9E1" w14:textId="16079CAA"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7E22E7" w:rsidRPr="008D4B9C">
              <w:rPr>
                <w:rFonts w:eastAsiaTheme="minorHAnsi"/>
                <w:lang w:val="en-US" w:bidi="ar-SA"/>
              </w:rPr>
              <w:t>IEC 60529:1989</w:t>
            </w:r>
          </w:p>
        </w:tc>
      </w:tr>
      <w:tr w:rsidR="007F3111" w14:paraId="380DAD3B" w14:textId="77777777" w:rsidTr="0071258F">
        <w:tc>
          <w:tcPr>
            <w:tcW w:w="3397" w:type="dxa"/>
          </w:tcPr>
          <w:p w14:paraId="1F9C35DF" w14:textId="2963CFE8" w:rsidR="007F3111" w:rsidRPr="008D4B9C" w:rsidRDefault="007F3111" w:rsidP="00E14E4A">
            <w:pPr>
              <w:jc w:val="both"/>
              <w:rPr>
                <w:rFonts w:eastAsiaTheme="minorHAnsi"/>
                <w:lang w:val="en-US" w:bidi="ar-SA"/>
              </w:rPr>
            </w:pPr>
            <w:r w:rsidRPr="008D4B9C">
              <w:rPr>
                <w:rFonts w:eastAsiaTheme="minorHAnsi"/>
                <w:lang w:val="en-US" w:bidi="ar-SA"/>
              </w:rPr>
              <w:t>IEC 60664-1:2020, Insulation coordination for equipment within low-voltage systems – Part 1:</w:t>
            </w:r>
            <w:r w:rsidR="00682F78">
              <w:rPr>
                <w:rFonts w:eastAsiaTheme="minorHAnsi"/>
                <w:lang w:val="en-US" w:bidi="ar-SA"/>
              </w:rPr>
              <w:t xml:space="preserve"> </w:t>
            </w:r>
            <w:r w:rsidRPr="008D4B9C">
              <w:rPr>
                <w:rFonts w:eastAsiaTheme="minorHAnsi"/>
                <w:lang w:val="en-US" w:bidi="ar-SA"/>
              </w:rPr>
              <w:t>Principles, requirements and tests</w:t>
            </w:r>
          </w:p>
        </w:tc>
        <w:tc>
          <w:tcPr>
            <w:tcW w:w="4024" w:type="dxa"/>
          </w:tcPr>
          <w:p w14:paraId="46CB6D0D" w14:textId="60B681A6" w:rsidR="007F3111" w:rsidRPr="00E14E4A" w:rsidRDefault="00682F78" w:rsidP="00E14E4A">
            <w:pPr>
              <w:jc w:val="both"/>
              <w:rPr>
                <w:rFonts w:eastAsiaTheme="minorHAnsi"/>
                <w:lang w:val="en-US" w:bidi="ar-SA"/>
              </w:rPr>
            </w:pPr>
            <w:r w:rsidRPr="00E14E4A">
              <w:rPr>
                <w:rFonts w:eastAsiaTheme="minorHAnsi"/>
                <w:lang w:val="en-US" w:bidi="ar-SA"/>
              </w:rPr>
              <w:t>IS 15382 (Part 1) : 2022</w:t>
            </w:r>
            <w:r w:rsidR="00EB1964">
              <w:rPr>
                <w:rFonts w:eastAsiaTheme="minorHAnsi"/>
                <w:lang w:val="en-US" w:bidi="ar-SA"/>
              </w:rPr>
              <w:t>/</w:t>
            </w:r>
            <w:r w:rsidRPr="00E14E4A">
              <w:rPr>
                <w:rFonts w:eastAsiaTheme="minorHAnsi"/>
                <w:lang w:val="en-US" w:bidi="ar-SA"/>
              </w:rPr>
              <w:br/>
              <w:t>IEC 60664-1:2020 Insulation Coordination for Equipment Within Low-Voltage Systems Part 1 Principles Requirements and Tests</w:t>
            </w:r>
          </w:p>
        </w:tc>
        <w:tc>
          <w:tcPr>
            <w:tcW w:w="2515" w:type="dxa"/>
            <w:vAlign w:val="center"/>
          </w:tcPr>
          <w:p w14:paraId="052358AE" w14:textId="3D11D975"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682F78" w:rsidRPr="008D4B9C">
              <w:rPr>
                <w:rFonts w:eastAsiaTheme="minorHAnsi"/>
                <w:lang w:val="en-US" w:bidi="ar-SA"/>
              </w:rPr>
              <w:t>IEC 60664-1:2020</w:t>
            </w:r>
          </w:p>
        </w:tc>
      </w:tr>
      <w:tr w:rsidR="007F3111" w14:paraId="67A4BEC2" w14:textId="77777777" w:rsidTr="0071258F">
        <w:tc>
          <w:tcPr>
            <w:tcW w:w="3397" w:type="dxa"/>
          </w:tcPr>
          <w:p w14:paraId="4F5665BD" w14:textId="2BA8A8A7" w:rsidR="007F3111" w:rsidRPr="008D4B9C" w:rsidRDefault="007F3111" w:rsidP="00E14E4A">
            <w:pPr>
              <w:jc w:val="both"/>
              <w:rPr>
                <w:rFonts w:eastAsiaTheme="minorHAnsi"/>
                <w:lang w:val="en-US" w:bidi="ar-SA"/>
              </w:rPr>
            </w:pPr>
            <w:r w:rsidRPr="008D4B9C">
              <w:rPr>
                <w:rFonts w:eastAsiaTheme="minorHAnsi"/>
                <w:lang w:val="en-US" w:bidi="ar-SA"/>
              </w:rPr>
              <w:t>IEC 60721-1:1990, Classification of environmental conditions – Part 1: Environmental</w:t>
            </w:r>
            <w:r w:rsidR="0071258F">
              <w:rPr>
                <w:rFonts w:eastAsiaTheme="minorHAnsi"/>
                <w:lang w:val="en-US" w:bidi="ar-SA"/>
              </w:rPr>
              <w:t xml:space="preserve"> </w:t>
            </w:r>
            <w:r w:rsidRPr="008D4B9C">
              <w:rPr>
                <w:rFonts w:eastAsiaTheme="minorHAnsi"/>
                <w:lang w:val="en-US" w:bidi="ar-SA"/>
              </w:rPr>
              <w:t>parameters and their severities</w:t>
            </w:r>
          </w:p>
          <w:p w14:paraId="4089E49E" w14:textId="77777777" w:rsidR="007F3111" w:rsidRPr="008D4B9C" w:rsidRDefault="007F3111" w:rsidP="00E14E4A">
            <w:pPr>
              <w:jc w:val="both"/>
              <w:rPr>
                <w:rFonts w:eastAsiaTheme="minorHAnsi"/>
                <w:lang w:val="en-US" w:bidi="ar-SA"/>
              </w:rPr>
            </w:pPr>
            <w:r w:rsidRPr="008D4B9C">
              <w:rPr>
                <w:rFonts w:eastAsiaTheme="minorHAnsi"/>
                <w:lang w:val="en-US" w:bidi="ar-SA"/>
              </w:rPr>
              <w:t>IEC 60721-1:1990/AMD1:1992</w:t>
            </w:r>
          </w:p>
          <w:p w14:paraId="10E1C76A" w14:textId="05145CE4" w:rsidR="007F3111" w:rsidRPr="008D4B9C" w:rsidRDefault="007F3111" w:rsidP="00E14E4A">
            <w:pPr>
              <w:jc w:val="both"/>
              <w:rPr>
                <w:rFonts w:eastAsiaTheme="minorHAnsi"/>
                <w:lang w:val="en-US" w:bidi="ar-SA"/>
              </w:rPr>
            </w:pPr>
            <w:r w:rsidRPr="008D4B9C">
              <w:rPr>
                <w:rFonts w:eastAsiaTheme="minorHAnsi"/>
                <w:lang w:val="en-US" w:bidi="ar-SA"/>
              </w:rPr>
              <w:t>IEC 60721-1:1990/AMD2:1995</w:t>
            </w:r>
          </w:p>
        </w:tc>
        <w:tc>
          <w:tcPr>
            <w:tcW w:w="4024" w:type="dxa"/>
          </w:tcPr>
          <w:p w14:paraId="40ABD8BE" w14:textId="5498A77A" w:rsidR="007F3111" w:rsidRPr="00E14E4A" w:rsidRDefault="00682F78" w:rsidP="00E14E4A">
            <w:pPr>
              <w:jc w:val="both"/>
              <w:rPr>
                <w:rFonts w:eastAsiaTheme="minorHAnsi"/>
                <w:lang w:val="en-US" w:bidi="ar-SA"/>
              </w:rPr>
            </w:pPr>
            <w:r w:rsidRPr="00E14E4A">
              <w:rPr>
                <w:rFonts w:eastAsiaTheme="minorHAnsi"/>
                <w:lang w:val="en-US" w:bidi="ar-SA"/>
              </w:rPr>
              <w:t>IS 13736 (Part 1) : 2018</w:t>
            </w:r>
            <w:r w:rsidR="00EB1964">
              <w:rPr>
                <w:rFonts w:eastAsiaTheme="minorHAnsi"/>
                <w:lang w:val="en-US" w:bidi="ar-SA"/>
              </w:rPr>
              <w:t>/</w:t>
            </w:r>
            <w:r w:rsidRPr="00E14E4A">
              <w:rPr>
                <w:rFonts w:eastAsiaTheme="minorHAnsi"/>
                <w:lang w:val="en-US" w:bidi="ar-SA"/>
              </w:rPr>
              <w:br/>
              <w:t>IEC 60721-1: 2002 Classification of environmental conditions: Part 1 environmental parameters and their severities (</w:t>
            </w:r>
            <w:r w:rsidRPr="0071258F">
              <w:rPr>
                <w:rFonts w:eastAsiaTheme="minorHAnsi"/>
                <w:i/>
                <w:lang w:val="en-US" w:bidi="ar-SA"/>
              </w:rPr>
              <w:t>First Revision</w:t>
            </w:r>
            <w:r w:rsidRPr="00E14E4A">
              <w:rPr>
                <w:rFonts w:eastAsiaTheme="minorHAnsi"/>
                <w:lang w:val="en-US" w:bidi="ar-SA"/>
              </w:rPr>
              <w:t xml:space="preserve">) </w:t>
            </w:r>
          </w:p>
        </w:tc>
        <w:tc>
          <w:tcPr>
            <w:tcW w:w="2515" w:type="dxa"/>
            <w:vAlign w:val="center"/>
          </w:tcPr>
          <w:p w14:paraId="1BA6C372" w14:textId="4ECAB617"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EB1964">
              <w:rPr>
                <w:rFonts w:eastAsiaTheme="minorHAnsi"/>
                <w:lang w:val="en-US" w:bidi="ar-SA"/>
              </w:rPr>
              <w:t>IEC 60721-1: 2002</w:t>
            </w:r>
          </w:p>
        </w:tc>
      </w:tr>
      <w:tr w:rsidR="007F3111" w14:paraId="2818FBE8" w14:textId="77777777" w:rsidTr="0071258F">
        <w:tc>
          <w:tcPr>
            <w:tcW w:w="3397" w:type="dxa"/>
          </w:tcPr>
          <w:p w14:paraId="2EB09054" w14:textId="77777777" w:rsidR="007F3111" w:rsidRPr="008D4B9C" w:rsidRDefault="007F3111" w:rsidP="00E14E4A">
            <w:pPr>
              <w:jc w:val="both"/>
              <w:rPr>
                <w:rFonts w:eastAsiaTheme="minorHAnsi"/>
                <w:lang w:val="en-US" w:bidi="ar-SA"/>
              </w:rPr>
            </w:pPr>
            <w:r w:rsidRPr="008D4B9C">
              <w:rPr>
                <w:rFonts w:eastAsiaTheme="minorHAnsi"/>
                <w:lang w:val="en-US" w:bidi="ar-SA"/>
              </w:rPr>
              <w:t xml:space="preserve">IEC 60721-2-2:2012, Classification of environmental </w:t>
            </w:r>
            <w:r w:rsidRPr="008D4B9C">
              <w:rPr>
                <w:rFonts w:eastAsiaTheme="minorHAnsi"/>
                <w:lang w:val="en-US" w:bidi="ar-SA"/>
              </w:rPr>
              <w:lastRenderedPageBreak/>
              <w:t>conditions – Part 2-2: Environmental</w:t>
            </w:r>
          </w:p>
          <w:p w14:paraId="2891805A" w14:textId="469DB87D" w:rsidR="007F3111" w:rsidRPr="008D4B9C" w:rsidRDefault="007F3111" w:rsidP="00E14E4A">
            <w:pPr>
              <w:jc w:val="both"/>
              <w:rPr>
                <w:rFonts w:eastAsiaTheme="minorHAnsi"/>
                <w:lang w:val="en-US" w:bidi="ar-SA"/>
              </w:rPr>
            </w:pPr>
            <w:r w:rsidRPr="008D4B9C">
              <w:rPr>
                <w:rFonts w:eastAsiaTheme="minorHAnsi"/>
                <w:lang w:val="en-US" w:bidi="ar-SA"/>
              </w:rPr>
              <w:t>conditions appearing in nature – Precipitation and wind</w:t>
            </w:r>
          </w:p>
        </w:tc>
        <w:tc>
          <w:tcPr>
            <w:tcW w:w="4024" w:type="dxa"/>
          </w:tcPr>
          <w:p w14:paraId="70F5CDFD" w14:textId="3EC00E67" w:rsidR="007F3111" w:rsidRPr="00E14E4A" w:rsidRDefault="00682F78" w:rsidP="00E14E4A">
            <w:pPr>
              <w:jc w:val="both"/>
              <w:rPr>
                <w:rFonts w:eastAsiaTheme="minorHAnsi"/>
                <w:lang w:val="en-US" w:bidi="ar-SA"/>
              </w:rPr>
            </w:pPr>
            <w:r w:rsidRPr="00E14E4A">
              <w:rPr>
                <w:rFonts w:eastAsiaTheme="minorHAnsi"/>
                <w:lang w:val="en-US" w:bidi="ar-SA"/>
              </w:rPr>
              <w:lastRenderedPageBreak/>
              <w:t>IS 13736 (Part 2/Sec 2) : 2018</w:t>
            </w:r>
            <w:r w:rsidR="00FD4F8B">
              <w:rPr>
                <w:rFonts w:eastAsiaTheme="minorHAnsi"/>
                <w:lang w:val="en-US" w:bidi="ar-SA"/>
              </w:rPr>
              <w:t>/</w:t>
            </w:r>
            <w:r w:rsidRPr="00E14E4A">
              <w:rPr>
                <w:rFonts w:eastAsiaTheme="minorHAnsi"/>
                <w:lang w:val="en-US" w:bidi="ar-SA"/>
              </w:rPr>
              <w:br/>
              <w:t xml:space="preserve">IEC 60721-2-2: 2012 Classification of environmental conditions: Part 2 </w:t>
            </w:r>
            <w:r w:rsidRPr="00E14E4A">
              <w:rPr>
                <w:rFonts w:eastAsiaTheme="minorHAnsi"/>
                <w:lang w:val="en-US" w:bidi="ar-SA"/>
              </w:rPr>
              <w:lastRenderedPageBreak/>
              <w:t>environmental conditions appearing in nature: Sec 2 precipitation and wind (</w:t>
            </w:r>
            <w:r w:rsidRPr="0071258F">
              <w:rPr>
                <w:rFonts w:eastAsiaTheme="minorHAnsi"/>
                <w:i/>
                <w:lang w:val="en-US" w:bidi="ar-SA"/>
              </w:rPr>
              <w:t>First Revision</w:t>
            </w:r>
            <w:r w:rsidRPr="00E14E4A">
              <w:rPr>
                <w:rFonts w:eastAsiaTheme="minorHAnsi"/>
                <w:lang w:val="en-US" w:bidi="ar-SA"/>
              </w:rPr>
              <w:t>)</w:t>
            </w:r>
          </w:p>
        </w:tc>
        <w:tc>
          <w:tcPr>
            <w:tcW w:w="2515" w:type="dxa"/>
            <w:vAlign w:val="center"/>
          </w:tcPr>
          <w:p w14:paraId="20EC6630" w14:textId="00D0A6A9" w:rsidR="007F3111" w:rsidRPr="00E14E4A" w:rsidRDefault="00BF7FD4" w:rsidP="0071258F">
            <w:pPr>
              <w:jc w:val="center"/>
              <w:rPr>
                <w:rFonts w:eastAsiaTheme="minorHAnsi"/>
                <w:lang w:val="en-US" w:bidi="ar-SA"/>
              </w:rPr>
            </w:pPr>
            <w:r>
              <w:rPr>
                <w:rFonts w:eastAsiaTheme="minorHAnsi"/>
                <w:lang w:val="en-US" w:bidi="ar-SA"/>
              </w:rPr>
              <w:lastRenderedPageBreak/>
              <w:t xml:space="preserve">Identical with </w:t>
            </w:r>
            <w:r w:rsidR="00682F78" w:rsidRPr="008D4B9C">
              <w:rPr>
                <w:rFonts w:eastAsiaTheme="minorHAnsi"/>
                <w:lang w:val="en-US" w:bidi="ar-SA"/>
              </w:rPr>
              <w:t>IEC 60721-2-2:2012</w:t>
            </w:r>
          </w:p>
        </w:tc>
      </w:tr>
      <w:tr w:rsidR="007F3111" w14:paraId="754B5F5F" w14:textId="77777777" w:rsidTr="0071258F">
        <w:tc>
          <w:tcPr>
            <w:tcW w:w="3397" w:type="dxa"/>
          </w:tcPr>
          <w:p w14:paraId="6A3D3016" w14:textId="77777777" w:rsidR="007F3111" w:rsidRPr="008D4B9C" w:rsidRDefault="007F3111" w:rsidP="00E14E4A">
            <w:pPr>
              <w:jc w:val="both"/>
              <w:rPr>
                <w:rFonts w:eastAsiaTheme="minorHAnsi"/>
                <w:lang w:val="en-US" w:bidi="ar-SA"/>
              </w:rPr>
            </w:pPr>
            <w:r w:rsidRPr="008D4B9C">
              <w:rPr>
                <w:rFonts w:eastAsiaTheme="minorHAnsi"/>
                <w:lang w:val="en-US" w:bidi="ar-SA"/>
              </w:rPr>
              <w:lastRenderedPageBreak/>
              <w:t>IEC 60721-2-4:2018, Classification of environmental conditions – Part 2-4: Environmental</w:t>
            </w:r>
          </w:p>
          <w:p w14:paraId="4413BA04" w14:textId="486AA03F" w:rsidR="007F3111" w:rsidRPr="008D4B9C" w:rsidRDefault="007F3111" w:rsidP="00E14E4A">
            <w:pPr>
              <w:jc w:val="both"/>
              <w:rPr>
                <w:rFonts w:eastAsiaTheme="minorHAnsi"/>
                <w:lang w:val="en-US" w:bidi="ar-SA"/>
              </w:rPr>
            </w:pPr>
            <w:r w:rsidRPr="008D4B9C">
              <w:rPr>
                <w:rFonts w:eastAsiaTheme="minorHAnsi"/>
                <w:lang w:val="en-US" w:bidi="ar-SA"/>
              </w:rPr>
              <w:t>conditions appearing in nature – Solar radiation and temperature</w:t>
            </w:r>
          </w:p>
        </w:tc>
        <w:tc>
          <w:tcPr>
            <w:tcW w:w="4024" w:type="dxa"/>
          </w:tcPr>
          <w:p w14:paraId="43D40C69" w14:textId="4C2C178C" w:rsidR="007F3111" w:rsidRPr="00E14E4A" w:rsidRDefault="00FD4F8B" w:rsidP="00E14E4A">
            <w:pPr>
              <w:jc w:val="both"/>
              <w:rPr>
                <w:rFonts w:eastAsiaTheme="minorHAnsi"/>
                <w:lang w:val="en-US" w:bidi="ar-SA"/>
              </w:rPr>
            </w:pPr>
            <w:r>
              <w:rPr>
                <w:rFonts w:eastAsiaTheme="minorHAnsi"/>
                <w:lang w:val="en-US" w:bidi="ar-SA"/>
              </w:rPr>
              <w:t>IS/IEC 60721-2-4</w:t>
            </w:r>
            <w:r w:rsidR="00682F78" w:rsidRPr="00E14E4A">
              <w:rPr>
                <w:rFonts w:eastAsiaTheme="minorHAnsi"/>
                <w:lang w:val="en-US" w:bidi="ar-SA"/>
              </w:rPr>
              <w:t xml:space="preserve"> : 2018</w:t>
            </w:r>
            <w:r>
              <w:rPr>
                <w:rFonts w:eastAsiaTheme="minorHAnsi"/>
                <w:lang w:val="en-US" w:bidi="ar-SA"/>
              </w:rPr>
              <w:t>/</w:t>
            </w:r>
            <w:r w:rsidR="00682F78" w:rsidRPr="00E14E4A">
              <w:rPr>
                <w:rFonts w:eastAsiaTheme="minorHAnsi"/>
                <w:lang w:val="en-US" w:bidi="ar-SA"/>
              </w:rPr>
              <w:br/>
              <w:t>IEC 60721-2-4:2018 Classification of Environmental Conditions Part 2 Environmental Conditions appearing in nature Section 4 Solar Radiation and Temperature</w:t>
            </w:r>
          </w:p>
        </w:tc>
        <w:tc>
          <w:tcPr>
            <w:tcW w:w="2515" w:type="dxa"/>
            <w:vAlign w:val="center"/>
          </w:tcPr>
          <w:p w14:paraId="38ECF3A2" w14:textId="5F964A61"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682F78" w:rsidRPr="008D4B9C">
              <w:rPr>
                <w:rFonts w:eastAsiaTheme="minorHAnsi"/>
                <w:lang w:val="en-US" w:bidi="ar-SA"/>
              </w:rPr>
              <w:t>IEC 60721-2-4:2018</w:t>
            </w:r>
          </w:p>
        </w:tc>
      </w:tr>
      <w:tr w:rsidR="007F3111" w14:paraId="2C39965E" w14:textId="77777777" w:rsidTr="0071258F">
        <w:tc>
          <w:tcPr>
            <w:tcW w:w="3397" w:type="dxa"/>
          </w:tcPr>
          <w:p w14:paraId="581644E2" w14:textId="77777777" w:rsidR="007F3111" w:rsidRPr="008D4B9C" w:rsidRDefault="007F3111" w:rsidP="00E14E4A">
            <w:pPr>
              <w:jc w:val="both"/>
              <w:rPr>
                <w:rFonts w:eastAsiaTheme="minorHAnsi"/>
                <w:lang w:val="en-US" w:bidi="ar-SA"/>
              </w:rPr>
            </w:pPr>
            <w:r w:rsidRPr="008D4B9C">
              <w:rPr>
                <w:rFonts w:eastAsiaTheme="minorHAnsi"/>
                <w:lang w:val="en-US" w:bidi="ar-SA"/>
              </w:rPr>
              <w:t>IEC 60721-3-4, Classification of environmental conditions – Part 3-4: Classification of groups</w:t>
            </w:r>
          </w:p>
          <w:p w14:paraId="695D6B30" w14:textId="77777777" w:rsidR="007F3111" w:rsidRPr="008D4B9C" w:rsidRDefault="007F3111" w:rsidP="00E14E4A">
            <w:pPr>
              <w:jc w:val="both"/>
              <w:rPr>
                <w:rFonts w:eastAsiaTheme="minorHAnsi"/>
                <w:lang w:val="en-US" w:bidi="ar-SA"/>
              </w:rPr>
            </w:pPr>
            <w:r w:rsidRPr="008D4B9C">
              <w:rPr>
                <w:rFonts w:eastAsiaTheme="minorHAnsi"/>
                <w:lang w:val="en-US" w:bidi="ar-SA"/>
              </w:rPr>
              <w:t>of environmental parameters and their severities – Stationary use at non-weather protected</w:t>
            </w:r>
          </w:p>
          <w:p w14:paraId="2EC53523" w14:textId="3FE60F84" w:rsidR="007F3111" w:rsidRPr="008D4B9C" w:rsidRDefault="007F3111" w:rsidP="00E14E4A">
            <w:pPr>
              <w:jc w:val="both"/>
              <w:rPr>
                <w:rFonts w:eastAsiaTheme="minorHAnsi"/>
                <w:lang w:val="en-US" w:bidi="ar-SA"/>
              </w:rPr>
            </w:pPr>
            <w:r w:rsidRPr="008D4B9C">
              <w:rPr>
                <w:rFonts w:eastAsiaTheme="minorHAnsi"/>
                <w:lang w:val="en-US" w:bidi="ar-SA"/>
              </w:rPr>
              <w:t>locations</w:t>
            </w:r>
          </w:p>
        </w:tc>
        <w:tc>
          <w:tcPr>
            <w:tcW w:w="4024" w:type="dxa"/>
          </w:tcPr>
          <w:p w14:paraId="5E943D74" w14:textId="27B81F4C" w:rsidR="007F3111" w:rsidRPr="00E14E4A" w:rsidRDefault="00682F78" w:rsidP="00E14E4A">
            <w:pPr>
              <w:jc w:val="both"/>
              <w:rPr>
                <w:rFonts w:eastAsiaTheme="minorHAnsi"/>
                <w:lang w:val="en-US" w:bidi="ar-SA"/>
              </w:rPr>
            </w:pPr>
            <w:r w:rsidRPr="00E14E4A">
              <w:rPr>
                <w:rFonts w:eastAsiaTheme="minorHAnsi"/>
                <w:lang w:val="en-US" w:bidi="ar-SA"/>
              </w:rPr>
              <w:t>IS/IEC 6</w:t>
            </w:r>
            <w:r w:rsidR="00FD4F8B">
              <w:rPr>
                <w:rFonts w:eastAsiaTheme="minorHAnsi"/>
                <w:lang w:val="en-US" w:bidi="ar-SA"/>
              </w:rPr>
              <w:t>0721-3-4</w:t>
            </w:r>
            <w:r w:rsidRPr="00E14E4A">
              <w:rPr>
                <w:rFonts w:eastAsiaTheme="minorHAnsi"/>
                <w:lang w:val="en-US" w:bidi="ar-SA"/>
              </w:rPr>
              <w:t xml:space="preserve"> : 2019</w:t>
            </w:r>
            <w:r w:rsidR="00FD4F8B">
              <w:rPr>
                <w:rFonts w:eastAsiaTheme="minorHAnsi"/>
                <w:lang w:val="en-US" w:bidi="ar-SA"/>
              </w:rPr>
              <w:t>/</w:t>
            </w:r>
            <w:r w:rsidRPr="00E14E4A">
              <w:rPr>
                <w:rFonts w:eastAsiaTheme="minorHAnsi"/>
                <w:lang w:val="en-US" w:bidi="ar-SA"/>
              </w:rPr>
              <w:br/>
              <w:t xml:space="preserve">IEC 60721-3-4: 2019 </w:t>
            </w:r>
            <w:r w:rsidRPr="00E14E4A">
              <w:rPr>
                <w:rFonts w:eastAsiaTheme="minorHAnsi"/>
                <w:lang w:val="en-US" w:bidi="ar-SA"/>
              </w:rPr>
              <w:br/>
              <w:t>Classification of Environmental Conditions Part 3 Classification of groups of environmental parameters and their severities Section 4 Stationary use at non- weather</w:t>
            </w:r>
            <w:r w:rsidR="00FD4F8B">
              <w:rPr>
                <w:rFonts w:eastAsiaTheme="minorHAnsi"/>
                <w:lang w:val="en-US" w:bidi="ar-SA"/>
              </w:rPr>
              <w:t xml:space="preserve"> </w:t>
            </w:r>
            <w:r w:rsidRPr="00E14E4A">
              <w:rPr>
                <w:rFonts w:eastAsiaTheme="minorHAnsi"/>
                <w:lang w:val="en-US" w:bidi="ar-SA"/>
              </w:rPr>
              <w:t>protected locations</w:t>
            </w:r>
          </w:p>
        </w:tc>
        <w:tc>
          <w:tcPr>
            <w:tcW w:w="2515" w:type="dxa"/>
            <w:vAlign w:val="center"/>
          </w:tcPr>
          <w:p w14:paraId="78067EC0" w14:textId="5D9580F9"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682F78" w:rsidRPr="008D4B9C">
              <w:rPr>
                <w:rFonts w:eastAsiaTheme="minorHAnsi"/>
                <w:lang w:val="en-US" w:bidi="ar-SA"/>
              </w:rPr>
              <w:t>IEC 60721-3-4</w:t>
            </w:r>
            <w:r w:rsidR="00FD4F8B">
              <w:rPr>
                <w:rFonts w:eastAsiaTheme="minorHAnsi"/>
                <w:lang w:val="en-US" w:bidi="ar-SA"/>
              </w:rPr>
              <w:t>: 2019</w:t>
            </w:r>
          </w:p>
        </w:tc>
      </w:tr>
      <w:tr w:rsidR="007F3111" w14:paraId="0285590C" w14:textId="77777777" w:rsidTr="0071258F">
        <w:tc>
          <w:tcPr>
            <w:tcW w:w="3397" w:type="dxa"/>
          </w:tcPr>
          <w:p w14:paraId="5B0C4D98" w14:textId="48576FD8" w:rsidR="007F3111" w:rsidRPr="008D4B9C" w:rsidRDefault="007F3111" w:rsidP="0071258F">
            <w:pPr>
              <w:jc w:val="both"/>
              <w:rPr>
                <w:rFonts w:eastAsiaTheme="minorHAnsi"/>
                <w:lang w:val="en-US" w:bidi="ar-SA"/>
              </w:rPr>
            </w:pPr>
            <w:r w:rsidRPr="008D4B9C">
              <w:rPr>
                <w:rFonts w:eastAsiaTheme="minorHAnsi"/>
                <w:lang w:val="en-US" w:bidi="ar-SA"/>
              </w:rPr>
              <w:t>IEC TS 60815-1:2008, Selection and dimensioning of high-voltage insulators intended for use</w:t>
            </w:r>
            <w:r w:rsidR="0071258F">
              <w:rPr>
                <w:rFonts w:eastAsiaTheme="minorHAnsi"/>
                <w:lang w:val="en-US" w:bidi="ar-SA"/>
              </w:rPr>
              <w:t xml:space="preserve"> </w:t>
            </w:r>
            <w:r w:rsidRPr="008D4B9C">
              <w:rPr>
                <w:rFonts w:eastAsiaTheme="minorHAnsi"/>
                <w:lang w:val="en-US" w:bidi="ar-SA"/>
              </w:rPr>
              <w:t>in polluted conditions – Part 1: Definitions, information and general principles</w:t>
            </w:r>
          </w:p>
        </w:tc>
        <w:tc>
          <w:tcPr>
            <w:tcW w:w="4024" w:type="dxa"/>
          </w:tcPr>
          <w:p w14:paraId="0209B8A2" w14:textId="26EB2611" w:rsidR="007F3111" w:rsidRPr="00E14E4A" w:rsidRDefault="00682F78" w:rsidP="00E14E4A">
            <w:pPr>
              <w:jc w:val="both"/>
              <w:rPr>
                <w:rFonts w:eastAsiaTheme="minorHAnsi"/>
                <w:lang w:val="en-US" w:bidi="ar-SA"/>
              </w:rPr>
            </w:pPr>
            <w:r w:rsidRPr="00E14E4A">
              <w:rPr>
                <w:rFonts w:eastAsiaTheme="minorHAnsi"/>
                <w:lang w:val="en-US" w:bidi="ar-SA"/>
              </w:rPr>
              <w:t>IS 16683 (Part 1) : 2018</w:t>
            </w:r>
            <w:r w:rsidRPr="00E14E4A">
              <w:rPr>
                <w:rFonts w:eastAsiaTheme="minorHAnsi"/>
                <w:lang w:val="en-US" w:bidi="ar-SA"/>
              </w:rPr>
              <w:br/>
              <w:t>IEC TS 60815-1 : 2008 Selection and dimensioning of high - Voltage insulators intended for use in polluted conditions: Part 1 definitions, information and general principles</w:t>
            </w:r>
          </w:p>
        </w:tc>
        <w:tc>
          <w:tcPr>
            <w:tcW w:w="2515" w:type="dxa"/>
            <w:vAlign w:val="center"/>
          </w:tcPr>
          <w:p w14:paraId="49FCCE5B" w14:textId="100A658C"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682F78" w:rsidRPr="008D4B9C">
              <w:rPr>
                <w:rFonts w:eastAsiaTheme="minorHAnsi"/>
                <w:lang w:val="en-US" w:bidi="ar-SA"/>
              </w:rPr>
              <w:t>IEC TS 60815-1:2008</w:t>
            </w:r>
          </w:p>
        </w:tc>
      </w:tr>
      <w:tr w:rsidR="007F3111" w14:paraId="02857790" w14:textId="77777777" w:rsidTr="0071258F">
        <w:tc>
          <w:tcPr>
            <w:tcW w:w="3397" w:type="dxa"/>
          </w:tcPr>
          <w:p w14:paraId="4AC32946" w14:textId="7C654659" w:rsidR="007F3111" w:rsidRPr="008D4B9C" w:rsidRDefault="007F3111" w:rsidP="00E14E4A">
            <w:pPr>
              <w:jc w:val="both"/>
              <w:rPr>
                <w:rFonts w:eastAsiaTheme="minorHAnsi"/>
                <w:lang w:val="en-US" w:bidi="ar-SA"/>
              </w:rPr>
            </w:pPr>
            <w:r w:rsidRPr="008D4B9C">
              <w:rPr>
                <w:rFonts w:eastAsiaTheme="minorHAnsi"/>
                <w:lang w:val="en-US" w:bidi="ar-SA"/>
              </w:rPr>
              <w:t xml:space="preserve">IEC 60947-1, Low-voltage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 Part 1: General rules</w:t>
            </w:r>
          </w:p>
        </w:tc>
        <w:tc>
          <w:tcPr>
            <w:tcW w:w="4024" w:type="dxa"/>
          </w:tcPr>
          <w:p w14:paraId="3C134D0E" w14:textId="4E64CE86" w:rsidR="007F3111" w:rsidRPr="00E14E4A" w:rsidRDefault="00682F78" w:rsidP="00FD4F8B">
            <w:pPr>
              <w:jc w:val="both"/>
              <w:rPr>
                <w:rFonts w:eastAsiaTheme="minorHAnsi"/>
                <w:lang w:val="en-US" w:bidi="ar-SA"/>
              </w:rPr>
            </w:pPr>
            <w:r w:rsidRPr="00E14E4A">
              <w:rPr>
                <w:rFonts w:eastAsiaTheme="minorHAnsi"/>
                <w:lang w:val="en-US" w:bidi="ar-SA"/>
              </w:rPr>
              <w:t>IS/IEC 60947-1 : 2020</w:t>
            </w:r>
            <w:r w:rsidRPr="00E14E4A">
              <w:rPr>
                <w:rFonts w:eastAsiaTheme="minorHAnsi"/>
                <w:lang w:val="en-US" w:bidi="ar-SA"/>
              </w:rPr>
              <w:br/>
            </w:r>
            <w:r w:rsidR="001477ED" w:rsidRPr="00E14E4A">
              <w:rPr>
                <w:rFonts w:eastAsiaTheme="minorHAnsi"/>
                <w:lang w:val="en-US" w:bidi="ar-SA"/>
              </w:rPr>
              <w:t xml:space="preserve">Low-Voltage switchgear and </w:t>
            </w:r>
            <w:proofErr w:type="spellStart"/>
            <w:r w:rsidR="001477ED" w:rsidRPr="00E14E4A">
              <w:rPr>
                <w:rFonts w:eastAsiaTheme="minorHAnsi"/>
                <w:lang w:val="en-US" w:bidi="ar-SA"/>
              </w:rPr>
              <w:t>controlgear</w:t>
            </w:r>
            <w:proofErr w:type="spellEnd"/>
            <w:r w:rsidR="001477ED" w:rsidRPr="00E14E4A">
              <w:rPr>
                <w:rFonts w:eastAsiaTheme="minorHAnsi"/>
                <w:lang w:val="en-US" w:bidi="ar-SA"/>
              </w:rPr>
              <w:t xml:space="preserve"> Part 1 general rules</w:t>
            </w:r>
          </w:p>
        </w:tc>
        <w:tc>
          <w:tcPr>
            <w:tcW w:w="2515" w:type="dxa"/>
            <w:vAlign w:val="center"/>
          </w:tcPr>
          <w:p w14:paraId="4B7FD7C5" w14:textId="719B4A55"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682F78" w:rsidRPr="008D4B9C">
              <w:rPr>
                <w:rFonts w:eastAsiaTheme="minorHAnsi"/>
                <w:lang w:val="en-US" w:bidi="ar-SA"/>
              </w:rPr>
              <w:t>IEC 60947-1</w:t>
            </w:r>
            <w:r w:rsidR="003E042D">
              <w:rPr>
                <w:rFonts w:eastAsiaTheme="minorHAnsi"/>
                <w:lang w:val="en-US" w:bidi="ar-SA"/>
              </w:rPr>
              <w:t>: 2020</w:t>
            </w:r>
          </w:p>
        </w:tc>
      </w:tr>
      <w:tr w:rsidR="007F3111" w14:paraId="1B93FF6E" w14:textId="77777777" w:rsidTr="0071258F">
        <w:tc>
          <w:tcPr>
            <w:tcW w:w="3397" w:type="dxa"/>
          </w:tcPr>
          <w:p w14:paraId="680B9E21" w14:textId="3A0990CB" w:rsidR="007F3111" w:rsidRPr="008D4B9C" w:rsidRDefault="007F3111" w:rsidP="00E14E4A">
            <w:pPr>
              <w:jc w:val="both"/>
              <w:rPr>
                <w:rFonts w:eastAsiaTheme="minorHAnsi"/>
                <w:lang w:val="en-US" w:bidi="ar-SA"/>
              </w:rPr>
            </w:pPr>
            <w:r w:rsidRPr="00A602D7">
              <w:rPr>
                <w:rFonts w:eastAsiaTheme="minorHAnsi"/>
                <w:lang w:val="en-US" w:bidi="ar-SA"/>
              </w:rPr>
              <w:t xml:space="preserve">IEC 61439 (all parts), Low-voltage switchgear and </w:t>
            </w:r>
            <w:proofErr w:type="spellStart"/>
            <w:r w:rsidRPr="00A602D7">
              <w:rPr>
                <w:rFonts w:eastAsiaTheme="minorHAnsi"/>
                <w:lang w:val="en-US" w:bidi="ar-SA"/>
              </w:rPr>
              <w:t>controlgear</w:t>
            </w:r>
            <w:proofErr w:type="spellEnd"/>
            <w:r w:rsidRPr="00A602D7">
              <w:rPr>
                <w:rFonts w:eastAsiaTheme="minorHAnsi"/>
                <w:lang w:val="en-US" w:bidi="ar-SA"/>
              </w:rPr>
              <w:t xml:space="preserve"> assemblies</w:t>
            </w:r>
          </w:p>
        </w:tc>
        <w:tc>
          <w:tcPr>
            <w:tcW w:w="4024" w:type="dxa"/>
          </w:tcPr>
          <w:p w14:paraId="20BE3AAC" w14:textId="48A097D5" w:rsidR="007F3111" w:rsidRPr="00E14E4A" w:rsidRDefault="00A602D7" w:rsidP="00E14E4A">
            <w:pPr>
              <w:jc w:val="both"/>
              <w:rPr>
                <w:rFonts w:eastAsiaTheme="minorHAnsi"/>
                <w:lang w:val="en-US" w:bidi="ar-SA"/>
              </w:rPr>
            </w:pPr>
            <w:r>
              <w:rPr>
                <w:rFonts w:eastAsiaTheme="minorHAnsi"/>
                <w:lang w:val="en-US" w:bidi="ar-SA"/>
              </w:rPr>
              <w:t>IS/</w:t>
            </w:r>
            <w:r w:rsidRPr="00A602D7">
              <w:rPr>
                <w:rFonts w:eastAsiaTheme="minorHAnsi"/>
                <w:lang w:val="en-US" w:bidi="ar-SA"/>
              </w:rPr>
              <w:t xml:space="preserve">IEC 61439 (all parts), Low-voltage switchgear and </w:t>
            </w:r>
            <w:proofErr w:type="spellStart"/>
            <w:r w:rsidRPr="00A602D7">
              <w:rPr>
                <w:rFonts w:eastAsiaTheme="minorHAnsi"/>
                <w:lang w:val="en-US" w:bidi="ar-SA"/>
              </w:rPr>
              <w:t>controlgear</w:t>
            </w:r>
            <w:proofErr w:type="spellEnd"/>
            <w:r w:rsidRPr="00A602D7">
              <w:rPr>
                <w:rFonts w:eastAsiaTheme="minorHAnsi"/>
                <w:lang w:val="en-US" w:bidi="ar-SA"/>
              </w:rPr>
              <w:t xml:space="preserve"> assemblies</w:t>
            </w:r>
          </w:p>
        </w:tc>
        <w:tc>
          <w:tcPr>
            <w:tcW w:w="2515" w:type="dxa"/>
            <w:vAlign w:val="center"/>
          </w:tcPr>
          <w:p w14:paraId="3CDD946D" w14:textId="53A21ED4" w:rsidR="007F3111" w:rsidRPr="00E14E4A" w:rsidRDefault="003E042D" w:rsidP="0071258F">
            <w:pPr>
              <w:jc w:val="center"/>
              <w:rPr>
                <w:rFonts w:eastAsiaTheme="minorHAnsi"/>
                <w:lang w:val="en-US" w:bidi="ar-SA"/>
              </w:rPr>
            </w:pPr>
            <w:r>
              <w:rPr>
                <w:rFonts w:eastAsiaTheme="minorHAnsi"/>
                <w:lang w:val="en-US" w:bidi="ar-SA"/>
              </w:rPr>
              <w:t>Identical</w:t>
            </w:r>
          </w:p>
        </w:tc>
      </w:tr>
      <w:tr w:rsidR="007F3111" w14:paraId="4548130D" w14:textId="77777777" w:rsidTr="0071258F">
        <w:tc>
          <w:tcPr>
            <w:tcW w:w="3397" w:type="dxa"/>
          </w:tcPr>
          <w:p w14:paraId="7596B82C" w14:textId="784FDD20" w:rsidR="007F3111" w:rsidRPr="008D4B9C" w:rsidRDefault="007F3111" w:rsidP="00E14E4A">
            <w:pPr>
              <w:jc w:val="both"/>
              <w:rPr>
                <w:rFonts w:eastAsiaTheme="minorHAnsi"/>
                <w:lang w:val="en-US" w:bidi="ar-SA"/>
              </w:rPr>
            </w:pPr>
            <w:r w:rsidRPr="008D4B9C">
              <w:rPr>
                <w:rFonts w:eastAsiaTheme="minorHAnsi"/>
                <w:lang w:val="en-US" w:bidi="ar-SA"/>
              </w:rPr>
              <w:t xml:space="preserve">IEC 61439-1:2020, Low-voltage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assemblies – Part 1: General rules</w:t>
            </w:r>
          </w:p>
        </w:tc>
        <w:tc>
          <w:tcPr>
            <w:tcW w:w="4024" w:type="dxa"/>
          </w:tcPr>
          <w:p w14:paraId="322464CC" w14:textId="0D857B44" w:rsidR="007F3111" w:rsidRPr="00E14E4A" w:rsidRDefault="001477ED" w:rsidP="003E042D">
            <w:pPr>
              <w:jc w:val="both"/>
              <w:rPr>
                <w:rFonts w:eastAsiaTheme="minorHAnsi"/>
                <w:lang w:val="en-US" w:bidi="ar-SA"/>
              </w:rPr>
            </w:pPr>
            <w:r w:rsidRPr="00E14E4A">
              <w:rPr>
                <w:rFonts w:eastAsiaTheme="minorHAnsi"/>
                <w:lang w:val="en-US" w:bidi="ar-SA"/>
              </w:rPr>
              <w:t>IS/IEC 61439-1 : 2020</w:t>
            </w:r>
            <w:r w:rsidRPr="00E14E4A">
              <w:rPr>
                <w:rFonts w:eastAsiaTheme="minorHAnsi"/>
                <w:lang w:val="en-US" w:bidi="ar-SA"/>
              </w:rPr>
              <w:br/>
              <w:t xml:space="preserve">Low-voltage switchgear and </w:t>
            </w:r>
            <w:proofErr w:type="spellStart"/>
            <w:r w:rsidRPr="00E14E4A">
              <w:rPr>
                <w:rFonts w:eastAsiaTheme="minorHAnsi"/>
                <w:lang w:val="en-US" w:bidi="ar-SA"/>
              </w:rPr>
              <w:t>controlgear</w:t>
            </w:r>
            <w:proofErr w:type="spellEnd"/>
            <w:r w:rsidRPr="00E14E4A">
              <w:rPr>
                <w:rFonts w:eastAsiaTheme="minorHAnsi"/>
                <w:lang w:val="en-US" w:bidi="ar-SA"/>
              </w:rPr>
              <w:t xml:space="preserve"> assemblies Part 1: General rules (</w:t>
            </w:r>
            <w:r w:rsidRPr="0071258F">
              <w:rPr>
                <w:rFonts w:eastAsiaTheme="minorHAnsi"/>
                <w:i/>
                <w:lang w:val="en-US" w:bidi="ar-SA"/>
              </w:rPr>
              <w:t>First Revision</w:t>
            </w:r>
            <w:r w:rsidRPr="00E14E4A">
              <w:rPr>
                <w:rFonts w:eastAsiaTheme="minorHAnsi"/>
                <w:lang w:val="en-US" w:bidi="ar-SA"/>
              </w:rPr>
              <w:t>)</w:t>
            </w:r>
          </w:p>
        </w:tc>
        <w:tc>
          <w:tcPr>
            <w:tcW w:w="2515" w:type="dxa"/>
            <w:vAlign w:val="center"/>
          </w:tcPr>
          <w:p w14:paraId="393BC6D8" w14:textId="711DA393"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1477ED" w:rsidRPr="008D4B9C">
              <w:rPr>
                <w:rFonts w:eastAsiaTheme="minorHAnsi"/>
                <w:lang w:val="en-US" w:bidi="ar-SA"/>
              </w:rPr>
              <w:t>IEC 61439-1:2020</w:t>
            </w:r>
          </w:p>
        </w:tc>
      </w:tr>
      <w:tr w:rsidR="007F3111" w14:paraId="43BD69DA" w14:textId="77777777" w:rsidTr="0071258F">
        <w:tc>
          <w:tcPr>
            <w:tcW w:w="3397" w:type="dxa"/>
          </w:tcPr>
          <w:p w14:paraId="698D286F" w14:textId="2BA1B151" w:rsidR="007F3111" w:rsidRPr="008D4B9C" w:rsidRDefault="007F3111" w:rsidP="0071258F">
            <w:pPr>
              <w:jc w:val="both"/>
              <w:rPr>
                <w:rFonts w:eastAsiaTheme="minorHAnsi"/>
                <w:lang w:val="en-US" w:bidi="ar-SA"/>
              </w:rPr>
            </w:pPr>
            <w:r w:rsidRPr="008D4B9C">
              <w:rPr>
                <w:rFonts w:eastAsiaTheme="minorHAnsi"/>
                <w:lang w:val="en-US" w:bidi="ar-SA"/>
              </w:rPr>
              <w:t>IEC 62262:2002, Degrees of protection provided by enclosures for electrical equipment against</w:t>
            </w:r>
            <w:r w:rsidR="0071258F">
              <w:rPr>
                <w:rFonts w:eastAsiaTheme="minorHAnsi"/>
                <w:lang w:val="en-US" w:bidi="ar-SA"/>
              </w:rPr>
              <w:t xml:space="preserve"> </w:t>
            </w:r>
            <w:r w:rsidRPr="008D4B9C">
              <w:rPr>
                <w:rFonts w:eastAsiaTheme="minorHAnsi"/>
                <w:lang w:val="en-US" w:bidi="ar-SA"/>
              </w:rPr>
              <w:t>external mechanical impacts (IK code)</w:t>
            </w:r>
          </w:p>
        </w:tc>
        <w:tc>
          <w:tcPr>
            <w:tcW w:w="4024" w:type="dxa"/>
          </w:tcPr>
          <w:p w14:paraId="6755250E" w14:textId="3236BD40" w:rsidR="007F3111" w:rsidRPr="003E042D" w:rsidRDefault="003E042D" w:rsidP="003E042D">
            <w:pPr>
              <w:jc w:val="both"/>
              <w:rPr>
                <w:rFonts w:eastAsiaTheme="minorHAnsi"/>
              </w:rPr>
            </w:pPr>
            <w:r w:rsidRPr="003E042D">
              <w:rPr>
                <w:rFonts w:eastAsiaTheme="minorHAnsi"/>
              </w:rPr>
              <w:t>IS 17050 : 2023/</w:t>
            </w:r>
            <w:r w:rsidR="00A602D7" w:rsidRPr="003E042D">
              <w:rPr>
                <w:rFonts w:eastAsiaTheme="minorHAnsi"/>
              </w:rPr>
              <w:t xml:space="preserve"> IEC 62262 : 2002 </w:t>
            </w:r>
            <w:r w:rsidRPr="003E042D">
              <w:t>Degrees of protection provided by enclosures for electrical equipment against external mechanical impacts IK Code</w:t>
            </w:r>
          </w:p>
        </w:tc>
        <w:tc>
          <w:tcPr>
            <w:tcW w:w="2515" w:type="dxa"/>
            <w:vAlign w:val="center"/>
          </w:tcPr>
          <w:p w14:paraId="487B7828" w14:textId="79E65837" w:rsidR="007F3111" w:rsidRPr="00E14E4A" w:rsidRDefault="00043CCB" w:rsidP="0071258F">
            <w:pPr>
              <w:jc w:val="center"/>
              <w:rPr>
                <w:rFonts w:eastAsiaTheme="minorHAnsi"/>
                <w:lang w:val="en-US" w:bidi="ar-SA"/>
              </w:rPr>
            </w:pPr>
            <w:r>
              <w:rPr>
                <w:rFonts w:eastAsiaTheme="minorHAnsi"/>
                <w:lang w:val="en-US" w:bidi="ar-SA"/>
              </w:rPr>
              <w:t>Identical with</w:t>
            </w:r>
            <w:r w:rsidR="00BF7FD4">
              <w:rPr>
                <w:rFonts w:eastAsiaTheme="minorHAnsi"/>
                <w:lang w:val="en-US" w:bidi="ar-SA"/>
              </w:rPr>
              <w:t xml:space="preserve"> </w:t>
            </w:r>
            <w:r w:rsidR="00BF7FD4" w:rsidRPr="008D4B9C">
              <w:rPr>
                <w:rFonts w:eastAsiaTheme="minorHAnsi"/>
                <w:lang w:val="en-US" w:bidi="ar-SA"/>
              </w:rPr>
              <w:t>IEC 62262:2002</w:t>
            </w:r>
          </w:p>
        </w:tc>
      </w:tr>
      <w:tr w:rsidR="007F3111" w14:paraId="4253F1E4" w14:textId="77777777" w:rsidTr="0071258F">
        <w:tc>
          <w:tcPr>
            <w:tcW w:w="3397" w:type="dxa"/>
          </w:tcPr>
          <w:p w14:paraId="08EA1428" w14:textId="03A3F687" w:rsidR="007F3111" w:rsidRPr="008D4B9C" w:rsidRDefault="007F3111" w:rsidP="00E14E4A">
            <w:pPr>
              <w:jc w:val="both"/>
              <w:rPr>
                <w:rFonts w:eastAsiaTheme="minorHAnsi"/>
                <w:lang w:val="en-US" w:bidi="ar-SA"/>
              </w:rPr>
            </w:pPr>
            <w:r w:rsidRPr="008D4B9C">
              <w:rPr>
                <w:rFonts w:eastAsiaTheme="minorHAnsi"/>
                <w:lang w:val="en-US" w:bidi="ar-SA"/>
              </w:rPr>
              <w:t xml:space="preserve">IEC 62271-1:2017, High-voltage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 Part 1: Common specifications</w:t>
            </w:r>
            <w:r w:rsidR="00E14E4A">
              <w:rPr>
                <w:rFonts w:eastAsiaTheme="minorHAnsi"/>
                <w:lang w:val="en-US" w:bidi="ar-SA"/>
              </w:rPr>
              <w:t xml:space="preserve"> </w:t>
            </w:r>
            <w:r w:rsidRPr="008D4B9C">
              <w:rPr>
                <w:rFonts w:eastAsiaTheme="minorHAnsi"/>
                <w:lang w:val="en-US" w:bidi="ar-SA"/>
              </w:rPr>
              <w:t xml:space="preserve">for alternating current switchgear and </w:t>
            </w:r>
            <w:proofErr w:type="spellStart"/>
            <w:r w:rsidRPr="008D4B9C">
              <w:rPr>
                <w:rFonts w:eastAsiaTheme="minorHAnsi"/>
                <w:lang w:val="en-US" w:bidi="ar-SA"/>
              </w:rPr>
              <w:t>controlgear</w:t>
            </w:r>
            <w:proofErr w:type="spellEnd"/>
          </w:p>
        </w:tc>
        <w:tc>
          <w:tcPr>
            <w:tcW w:w="4024" w:type="dxa"/>
          </w:tcPr>
          <w:p w14:paraId="17140419" w14:textId="790705A1" w:rsidR="007F3111" w:rsidRPr="00E14E4A" w:rsidRDefault="00E14E4A" w:rsidP="003E042D">
            <w:pPr>
              <w:jc w:val="both"/>
              <w:rPr>
                <w:rFonts w:eastAsiaTheme="minorHAnsi"/>
                <w:lang w:val="en-US" w:bidi="ar-SA"/>
              </w:rPr>
            </w:pPr>
            <w:r>
              <w:rPr>
                <w:rFonts w:eastAsiaTheme="minorHAnsi"/>
                <w:lang w:val="en-US" w:bidi="ar-SA"/>
              </w:rPr>
              <w:t>IS/IEC 62271-1</w:t>
            </w:r>
            <w:r w:rsidR="001477ED" w:rsidRPr="00E14E4A">
              <w:rPr>
                <w:rFonts w:eastAsiaTheme="minorHAnsi"/>
                <w:lang w:val="en-US" w:bidi="ar-SA"/>
              </w:rPr>
              <w:t>: 2017</w:t>
            </w:r>
            <w:r>
              <w:rPr>
                <w:rFonts w:eastAsiaTheme="minorHAnsi"/>
                <w:lang w:val="en-US" w:bidi="ar-SA"/>
              </w:rPr>
              <w:t xml:space="preserve"> High-Voltage switchgear a</w:t>
            </w:r>
            <w:r w:rsidRPr="00E14E4A">
              <w:rPr>
                <w:rFonts w:eastAsiaTheme="minorHAnsi"/>
                <w:lang w:val="en-US" w:bidi="ar-SA"/>
              </w:rPr>
              <w:t xml:space="preserve">nd </w:t>
            </w:r>
            <w:proofErr w:type="spellStart"/>
            <w:r w:rsidRPr="00E14E4A">
              <w:rPr>
                <w:rFonts w:eastAsiaTheme="minorHAnsi"/>
                <w:lang w:val="en-US" w:bidi="ar-SA"/>
              </w:rPr>
              <w:t>controlgea</w:t>
            </w:r>
            <w:r>
              <w:rPr>
                <w:rFonts w:eastAsiaTheme="minorHAnsi"/>
                <w:lang w:val="en-US" w:bidi="ar-SA"/>
              </w:rPr>
              <w:t>r</w:t>
            </w:r>
            <w:proofErr w:type="spellEnd"/>
            <w:r>
              <w:rPr>
                <w:rFonts w:eastAsiaTheme="minorHAnsi"/>
                <w:lang w:val="en-US" w:bidi="ar-SA"/>
              </w:rPr>
              <w:t xml:space="preserve"> Part 1 common specifications f</w:t>
            </w:r>
            <w:r w:rsidRPr="00E14E4A">
              <w:rPr>
                <w:rFonts w:eastAsiaTheme="minorHAnsi"/>
                <w:lang w:val="en-US" w:bidi="ar-SA"/>
              </w:rPr>
              <w:t xml:space="preserve">or </w:t>
            </w:r>
            <w:r>
              <w:rPr>
                <w:rFonts w:eastAsiaTheme="minorHAnsi"/>
                <w:lang w:val="en-US" w:bidi="ar-SA"/>
              </w:rPr>
              <w:t>alternating current switchgear a</w:t>
            </w:r>
            <w:r w:rsidRPr="00E14E4A">
              <w:rPr>
                <w:rFonts w:eastAsiaTheme="minorHAnsi"/>
                <w:lang w:val="en-US" w:bidi="ar-SA"/>
              </w:rPr>
              <w:t xml:space="preserve">nd </w:t>
            </w:r>
            <w:proofErr w:type="spellStart"/>
            <w:r w:rsidRPr="00E14E4A">
              <w:rPr>
                <w:rFonts w:eastAsiaTheme="minorHAnsi"/>
                <w:lang w:val="en-US" w:bidi="ar-SA"/>
              </w:rPr>
              <w:t>controlgear</w:t>
            </w:r>
            <w:proofErr w:type="spellEnd"/>
          </w:p>
        </w:tc>
        <w:tc>
          <w:tcPr>
            <w:tcW w:w="2515" w:type="dxa"/>
            <w:vAlign w:val="center"/>
          </w:tcPr>
          <w:p w14:paraId="75EDE415" w14:textId="7F41F36B"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096325" w:rsidRPr="008D4B9C">
              <w:rPr>
                <w:rFonts w:eastAsiaTheme="minorHAnsi"/>
                <w:lang w:val="en-US" w:bidi="ar-SA"/>
              </w:rPr>
              <w:t>IEC 62271-1:2017</w:t>
            </w:r>
          </w:p>
        </w:tc>
      </w:tr>
      <w:tr w:rsidR="007F3111" w14:paraId="23066D0F" w14:textId="77777777" w:rsidTr="0071258F">
        <w:tc>
          <w:tcPr>
            <w:tcW w:w="3397" w:type="dxa"/>
          </w:tcPr>
          <w:p w14:paraId="723B1BAE" w14:textId="0A9074FE" w:rsidR="007F3111" w:rsidRPr="008D4B9C" w:rsidRDefault="007F3111" w:rsidP="00E14E4A">
            <w:pPr>
              <w:jc w:val="both"/>
              <w:rPr>
                <w:rFonts w:eastAsiaTheme="minorHAnsi"/>
                <w:lang w:val="en-US" w:bidi="ar-SA"/>
              </w:rPr>
            </w:pPr>
            <w:r w:rsidRPr="008D4B9C">
              <w:rPr>
                <w:rFonts w:eastAsiaTheme="minorHAnsi"/>
                <w:lang w:val="en-US" w:bidi="ar-SA"/>
              </w:rPr>
              <w:t xml:space="preserve">IEC 62271-200:2021, High-voltage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 Part 200: AC metal-enclosed</w:t>
            </w:r>
            <w:r w:rsidR="00E14E4A">
              <w:rPr>
                <w:rFonts w:eastAsiaTheme="minorHAnsi"/>
                <w:lang w:val="en-US" w:bidi="ar-SA"/>
              </w:rPr>
              <w:t xml:space="preserve"> </w:t>
            </w:r>
            <w:r w:rsidRPr="008D4B9C">
              <w:rPr>
                <w:rFonts w:eastAsiaTheme="minorHAnsi"/>
                <w:lang w:val="en-US" w:bidi="ar-SA"/>
              </w:rPr>
              <w:t xml:space="preserve">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for rated voltages above 1 kV and up to and including 52 kV</w:t>
            </w:r>
          </w:p>
        </w:tc>
        <w:tc>
          <w:tcPr>
            <w:tcW w:w="4024" w:type="dxa"/>
          </w:tcPr>
          <w:p w14:paraId="4AB99B5E" w14:textId="1D6FF956" w:rsidR="00096325" w:rsidRPr="00E14E4A" w:rsidRDefault="00E14E4A" w:rsidP="00E14E4A">
            <w:pPr>
              <w:jc w:val="both"/>
              <w:rPr>
                <w:rFonts w:eastAsiaTheme="minorHAnsi"/>
                <w:lang w:val="en-US" w:bidi="ar-SA"/>
              </w:rPr>
            </w:pPr>
            <w:r>
              <w:rPr>
                <w:rFonts w:eastAsiaTheme="minorHAnsi"/>
                <w:lang w:val="en-US" w:bidi="ar-SA"/>
              </w:rPr>
              <w:t>IS/IEC 62271-200</w:t>
            </w:r>
            <w:r w:rsidR="00096325" w:rsidRPr="00E14E4A">
              <w:rPr>
                <w:rFonts w:eastAsiaTheme="minorHAnsi"/>
                <w:lang w:val="en-US" w:bidi="ar-SA"/>
              </w:rPr>
              <w:t>: 2021</w:t>
            </w:r>
            <w:r w:rsidR="00096325" w:rsidRPr="00E14E4A">
              <w:rPr>
                <w:rFonts w:eastAsiaTheme="minorHAnsi"/>
                <w:lang w:val="en-US" w:bidi="ar-SA"/>
              </w:rPr>
              <w:br/>
              <w:t xml:space="preserve">High-voltage switchgear and </w:t>
            </w:r>
            <w:proofErr w:type="spellStart"/>
            <w:r w:rsidR="00096325" w:rsidRPr="00E14E4A">
              <w:rPr>
                <w:rFonts w:eastAsiaTheme="minorHAnsi"/>
                <w:lang w:val="en-US" w:bidi="ar-SA"/>
              </w:rPr>
              <w:t>Controlgear</w:t>
            </w:r>
            <w:proofErr w:type="spellEnd"/>
            <w:r w:rsidR="00096325" w:rsidRPr="00E14E4A">
              <w:rPr>
                <w:rFonts w:eastAsiaTheme="minorHAnsi"/>
                <w:lang w:val="en-US" w:bidi="ar-SA"/>
              </w:rPr>
              <w:t xml:space="preserve"> Part 200 AC metal-enclosed switchgear and </w:t>
            </w:r>
            <w:proofErr w:type="spellStart"/>
            <w:r w:rsidR="00096325" w:rsidRPr="00E14E4A">
              <w:rPr>
                <w:rFonts w:eastAsiaTheme="minorHAnsi"/>
                <w:lang w:val="en-US" w:bidi="ar-SA"/>
              </w:rPr>
              <w:t>Controlgear</w:t>
            </w:r>
            <w:proofErr w:type="spellEnd"/>
            <w:r w:rsidR="00096325" w:rsidRPr="00E14E4A">
              <w:rPr>
                <w:rFonts w:eastAsiaTheme="minorHAnsi"/>
                <w:lang w:val="en-US" w:bidi="ar-SA"/>
              </w:rPr>
              <w:t xml:space="preserve"> for rated voltages above 1 kV and up to and Including 52 kV</w:t>
            </w:r>
          </w:p>
          <w:p w14:paraId="60A1CE7B" w14:textId="0AA5606D" w:rsidR="007F3111" w:rsidRPr="00E14E4A" w:rsidRDefault="007F3111" w:rsidP="00E14E4A">
            <w:pPr>
              <w:jc w:val="both"/>
              <w:rPr>
                <w:rFonts w:eastAsiaTheme="minorHAnsi"/>
                <w:lang w:val="en-US" w:bidi="ar-SA"/>
              </w:rPr>
            </w:pPr>
          </w:p>
        </w:tc>
        <w:tc>
          <w:tcPr>
            <w:tcW w:w="2515" w:type="dxa"/>
            <w:vAlign w:val="center"/>
          </w:tcPr>
          <w:p w14:paraId="3A7B30A8" w14:textId="20244476"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096325" w:rsidRPr="008D4B9C">
              <w:rPr>
                <w:rFonts w:eastAsiaTheme="minorHAnsi"/>
                <w:lang w:val="en-US" w:bidi="ar-SA"/>
              </w:rPr>
              <w:t>IEC 62271-200:2021</w:t>
            </w:r>
          </w:p>
        </w:tc>
      </w:tr>
      <w:tr w:rsidR="007F3111" w14:paraId="75A141C5" w14:textId="77777777" w:rsidTr="0071258F">
        <w:tc>
          <w:tcPr>
            <w:tcW w:w="3397" w:type="dxa"/>
          </w:tcPr>
          <w:p w14:paraId="2180DE6C" w14:textId="4EB78D26" w:rsidR="007F3111" w:rsidRPr="008D4B9C" w:rsidRDefault="007F3111" w:rsidP="00E14E4A">
            <w:pPr>
              <w:jc w:val="both"/>
              <w:rPr>
                <w:rFonts w:eastAsiaTheme="minorHAnsi"/>
                <w:lang w:val="en-US" w:bidi="ar-SA"/>
              </w:rPr>
            </w:pPr>
            <w:r w:rsidRPr="008D4B9C">
              <w:rPr>
                <w:rFonts w:eastAsiaTheme="minorHAnsi"/>
                <w:lang w:val="en-US" w:bidi="ar-SA"/>
              </w:rPr>
              <w:lastRenderedPageBreak/>
              <w:t xml:space="preserve">IEC 62271-201:2014, High-voltage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 Part 201: AC solid-insulation</w:t>
            </w:r>
            <w:r w:rsidR="00E14E4A">
              <w:rPr>
                <w:rFonts w:eastAsiaTheme="minorHAnsi"/>
                <w:lang w:val="en-US" w:bidi="ar-SA"/>
              </w:rPr>
              <w:t xml:space="preserve"> </w:t>
            </w:r>
            <w:r w:rsidRPr="008D4B9C">
              <w:rPr>
                <w:rFonts w:eastAsiaTheme="minorHAnsi"/>
                <w:lang w:val="en-US" w:bidi="ar-SA"/>
              </w:rPr>
              <w:t xml:space="preserve">enclosed switchgear and </w:t>
            </w:r>
            <w:proofErr w:type="spellStart"/>
            <w:r w:rsidRPr="008D4B9C">
              <w:rPr>
                <w:rFonts w:eastAsiaTheme="minorHAnsi"/>
                <w:lang w:val="en-US" w:bidi="ar-SA"/>
              </w:rPr>
              <w:t>controlgear</w:t>
            </w:r>
            <w:proofErr w:type="spellEnd"/>
            <w:r w:rsidRPr="008D4B9C">
              <w:rPr>
                <w:rFonts w:eastAsiaTheme="minorHAnsi"/>
                <w:lang w:val="en-US" w:bidi="ar-SA"/>
              </w:rPr>
              <w:t xml:space="preserve"> for rated voltages above 1 kV and up to and including</w:t>
            </w:r>
            <w:r w:rsidR="00E14E4A">
              <w:rPr>
                <w:rFonts w:eastAsiaTheme="minorHAnsi"/>
                <w:lang w:val="en-US" w:bidi="ar-SA"/>
              </w:rPr>
              <w:t xml:space="preserve"> </w:t>
            </w:r>
            <w:r w:rsidRPr="008D4B9C">
              <w:rPr>
                <w:rFonts w:eastAsiaTheme="minorHAnsi"/>
                <w:lang w:val="en-US" w:bidi="ar-SA"/>
              </w:rPr>
              <w:t>52 kV</w:t>
            </w:r>
          </w:p>
        </w:tc>
        <w:tc>
          <w:tcPr>
            <w:tcW w:w="4024" w:type="dxa"/>
          </w:tcPr>
          <w:p w14:paraId="67E188B5" w14:textId="6BBD17DB" w:rsidR="007F3111" w:rsidRPr="00E14E4A" w:rsidRDefault="00096325" w:rsidP="003E042D">
            <w:pPr>
              <w:jc w:val="both"/>
              <w:rPr>
                <w:rFonts w:eastAsiaTheme="minorHAnsi"/>
                <w:lang w:val="en-US" w:bidi="ar-SA"/>
              </w:rPr>
            </w:pPr>
            <w:r w:rsidRPr="00E14E4A">
              <w:rPr>
                <w:rFonts w:eastAsiaTheme="minorHAnsi"/>
                <w:lang w:val="en-US" w:bidi="ar-SA"/>
              </w:rPr>
              <w:t>IS/IEC 62271-201 : 2014</w:t>
            </w:r>
            <w:r w:rsidRPr="00E14E4A">
              <w:rPr>
                <w:rFonts w:eastAsiaTheme="minorHAnsi"/>
                <w:lang w:val="en-US" w:bidi="ar-SA"/>
              </w:rPr>
              <w:br/>
              <w:t xml:space="preserve">High-Voltage Switchgear and </w:t>
            </w:r>
            <w:proofErr w:type="spellStart"/>
            <w:r w:rsidRPr="00E14E4A">
              <w:rPr>
                <w:rFonts w:eastAsiaTheme="minorHAnsi"/>
                <w:lang w:val="en-US" w:bidi="ar-SA"/>
              </w:rPr>
              <w:t>Controlgear</w:t>
            </w:r>
            <w:proofErr w:type="spellEnd"/>
            <w:r w:rsidRPr="00E14E4A">
              <w:rPr>
                <w:rFonts w:eastAsiaTheme="minorHAnsi"/>
                <w:lang w:val="en-US" w:bidi="ar-SA"/>
              </w:rPr>
              <w:t xml:space="preserve"> Part 201 ac Solid-Insulation Enclosed Switchgear and </w:t>
            </w:r>
            <w:proofErr w:type="spellStart"/>
            <w:r w:rsidRPr="00E14E4A">
              <w:rPr>
                <w:rFonts w:eastAsiaTheme="minorHAnsi"/>
                <w:lang w:val="en-US" w:bidi="ar-SA"/>
              </w:rPr>
              <w:t>Controlgear</w:t>
            </w:r>
            <w:proofErr w:type="spellEnd"/>
            <w:r w:rsidRPr="00E14E4A">
              <w:rPr>
                <w:rFonts w:eastAsiaTheme="minorHAnsi"/>
                <w:lang w:val="en-US" w:bidi="ar-SA"/>
              </w:rPr>
              <w:t xml:space="preserve"> for Rated Voltages Above 1 kV up to and I</w:t>
            </w:r>
            <w:r w:rsidR="0071258F">
              <w:rPr>
                <w:rFonts w:eastAsiaTheme="minorHAnsi"/>
                <w:lang w:val="en-US" w:bidi="ar-SA"/>
              </w:rPr>
              <w:t>ncluding 52 kV (</w:t>
            </w:r>
            <w:r w:rsidR="0071258F" w:rsidRPr="0071258F">
              <w:rPr>
                <w:rFonts w:eastAsiaTheme="minorHAnsi"/>
                <w:i/>
                <w:lang w:val="en-US" w:bidi="ar-SA"/>
              </w:rPr>
              <w:t>First Revision</w:t>
            </w:r>
            <w:r w:rsidRPr="00E14E4A">
              <w:rPr>
                <w:rFonts w:eastAsiaTheme="minorHAnsi"/>
                <w:lang w:val="en-US" w:bidi="ar-SA"/>
              </w:rPr>
              <w:t>)</w:t>
            </w:r>
          </w:p>
        </w:tc>
        <w:tc>
          <w:tcPr>
            <w:tcW w:w="2515" w:type="dxa"/>
            <w:vAlign w:val="center"/>
          </w:tcPr>
          <w:p w14:paraId="52467FCA" w14:textId="2A632E9F" w:rsidR="007F3111" w:rsidRPr="00E14E4A" w:rsidRDefault="00BF7FD4" w:rsidP="0071258F">
            <w:pPr>
              <w:jc w:val="center"/>
              <w:rPr>
                <w:rFonts w:eastAsiaTheme="minorHAnsi"/>
                <w:lang w:val="en-US" w:bidi="ar-SA"/>
              </w:rPr>
            </w:pPr>
            <w:r>
              <w:rPr>
                <w:rFonts w:eastAsiaTheme="minorHAnsi"/>
                <w:lang w:val="en-US" w:bidi="ar-SA"/>
              </w:rPr>
              <w:t xml:space="preserve">Identical with </w:t>
            </w:r>
            <w:r w:rsidR="00096325" w:rsidRPr="008D4B9C">
              <w:rPr>
                <w:rFonts w:eastAsiaTheme="minorHAnsi"/>
                <w:lang w:val="en-US" w:bidi="ar-SA"/>
              </w:rPr>
              <w:t>IEC 62271-201:2014</w:t>
            </w:r>
          </w:p>
        </w:tc>
      </w:tr>
      <w:tr w:rsidR="007F3111" w14:paraId="5E426FB7" w14:textId="77777777" w:rsidTr="0071258F">
        <w:tc>
          <w:tcPr>
            <w:tcW w:w="3397" w:type="dxa"/>
          </w:tcPr>
          <w:p w14:paraId="525244EA" w14:textId="763B327F" w:rsidR="007F3111" w:rsidRPr="008D4B9C" w:rsidRDefault="007F3111" w:rsidP="007F3111">
            <w:pPr>
              <w:rPr>
                <w:rFonts w:eastAsiaTheme="minorHAnsi"/>
                <w:lang w:val="en-US" w:bidi="ar-SA"/>
              </w:rPr>
            </w:pPr>
            <w:r w:rsidRPr="008D4B9C">
              <w:rPr>
                <w:rFonts w:eastAsiaTheme="minorHAnsi"/>
                <w:lang w:val="en-US" w:bidi="ar-SA"/>
              </w:rPr>
              <w:t>ISO 1182:2010, Reaction to fire tests for products – Non-combustibility tests</w:t>
            </w:r>
          </w:p>
        </w:tc>
        <w:tc>
          <w:tcPr>
            <w:tcW w:w="4024" w:type="dxa"/>
          </w:tcPr>
          <w:p w14:paraId="392AB267" w14:textId="3878333D" w:rsidR="007F3111" w:rsidRPr="0071258F" w:rsidRDefault="00096325" w:rsidP="00E14E4A">
            <w:pPr>
              <w:rPr>
                <w:rFonts w:eastAsiaTheme="minorHAnsi"/>
                <w:lang w:val="en-US" w:bidi="ar-SA"/>
              </w:rPr>
            </w:pPr>
            <w:r w:rsidRPr="0071258F">
              <w:rPr>
                <w:rFonts w:eastAsiaTheme="minorHAnsi"/>
                <w:lang w:val="en-US" w:bidi="ar-SA"/>
              </w:rPr>
              <w:t>IS 3808 : 1979 Method of test for non-combustibility of building materials (</w:t>
            </w:r>
            <w:r w:rsidRPr="0071258F">
              <w:rPr>
                <w:rFonts w:eastAsiaTheme="minorHAnsi"/>
                <w:i/>
                <w:lang w:val="en-US" w:bidi="ar-SA"/>
              </w:rPr>
              <w:t>First Revision</w:t>
            </w:r>
            <w:r w:rsidRPr="0071258F">
              <w:rPr>
                <w:rFonts w:eastAsiaTheme="minorHAnsi"/>
                <w:lang w:val="en-US" w:bidi="ar-SA"/>
              </w:rPr>
              <w:t>)</w:t>
            </w:r>
          </w:p>
        </w:tc>
        <w:tc>
          <w:tcPr>
            <w:tcW w:w="2515" w:type="dxa"/>
            <w:vAlign w:val="center"/>
          </w:tcPr>
          <w:p w14:paraId="03237779" w14:textId="3A0055BD" w:rsidR="00096325" w:rsidRPr="003E042D" w:rsidRDefault="00096325" w:rsidP="0071258F">
            <w:pPr>
              <w:shd w:val="clear" w:color="auto" w:fill="FFFFFF"/>
              <w:jc w:val="center"/>
              <w:rPr>
                <w:rFonts w:cs="Times New Roman"/>
                <w:color w:val="212529"/>
                <w:lang w:val="en-US" w:bidi="ar-SA"/>
              </w:rPr>
            </w:pPr>
            <w:r w:rsidRPr="003E042D">
              <w:rPr>
                <w:rFonts w:cs="Times New Roman"/>
                <w:color w:val="212529"/>
                <w:lang w:val="en-US" w:bidi="ar-SA"/>
              </w:rPr>
              <w:t>Technically Equivalent</w:t>
            </w:r>
          </w:p>
          <w:p w14:paraId="360AFAC0" w14:textId="77777777" w:rsidR="007F3111" w:rsidRDefault="007F3111" w:rsidP="0071258F">
            <w:pPr>
              <w:jc w:val="center"/>
            </w:pPr>
          </w:p>
        </w:tc>
      </w:tr>
      <w:tr w:rsidR="007F3111" w14:paraId="18F60880" w14:textId="77777777" w:rsidTr="0071258F">
        <w:tc>
          <w:tcPr>
            <w:tcW w:w="3397" w:type="dxa"/>
          </w:tcPr>
          <w:p w14:paraId="50F1C3C0" w14:textId="2BEA0C3C" w:rsidR="007F3111" w:rsidRPr="008D4B9C" w:rsidRDefault="007F3111" w:rsidP="0071258F">
            <w:pPr>
              <w:rPr>
                <w:rFonts w:eastAsiaTheme="minorHAnsi"/>
                <w:lang w:val="en-US" w:bidi="ar-SA"/>
              </w:rPr>
            </w:pPr>
            <w:r w:rsidRPr="008D4B9C">
              <w:rPr>
                <w:rFonts w:eastAsiaTheme="minorHAnsi"/>
                <w:lang w:val="en-US" w:bidi="ar-SA"/>
              </w:rPr>
              <w:t>ISO 1716:2018, Reaction to fire tests for products – Determination of the gross heat of</w:t>
            </w:r>
            <w:r w:rsidR="0071258F">
              <w:rPr>
                <w:rFonts w:eastAsiaTheme="minorHAnsi"/>
                <w:lang w:val="en-US" w:bidi="ar-SA"/>
              </w:rPr>
              <w:t xml:space="preserve"> </w:t>
            </w:r>
            <w:r w:rsidRPr="008D4B9C">
              <w:rPr>
                <w:rFonts w:eastAsiaTheme="minorHAnsi"/>
                <w:lang w:val="en-US" w:bidi="ar-SA"/>
              </w:rPr>
              <w:t>combustion (calorific value)</w:t>
            </w:r>
          </w:p>
        </w:tc>
        <w:tc>
          <w:tcPr>
            <w:tcW w:w="4024" w:type="dxa"/>
          </w:tcPr>
          <w:p w14:paraId="65EF7949" w14:textId="6FC14531" w:rsidR="007F3111" w:rsidRPr="0071258F" w:rsidRDefault="00096325" w:rsidP="003E042D">
            <w:pPr>
              <w:rPr>
                <w:rFonts w:eastAsiaTheme="minorHAnsi"/>
                <w:lang w:val="en-US" w:bidi="ar-SA"/>
              </w:rPr>
            </w:pPr>
            <w:r w:rsidRPr="0071258F">
              <w:rPr>
                <w:rFonts w:eastAsiaTheme="minorHAnsi"/>
                <w:lang w:val="en-US" w:bidi="ar-SA"/>
              </w:rPr>
              <w:t>IS/ISO 1716 : 2018</w:t>
            </w:r>
            <w:r w:rsidR="00950769" w:rsidRPr="0071258F">
              <w:rPr>
                <w:rFonts w:eastAsiaTheme="minorHAnsi"/>
                <w:lang w:val="en-US" w:bidi="ar-SA"/>
              </w:rPr>
              <w:t xml:space="preserve"> </w:t>
            </w:r>
            <w:r w:rsidR="0071258F">
              <w:rPr>
                <w:rFonts w:eastAsiaTheme="minorHAnsi"/>
                <w:lang w:val="en-US" w:bidi="ar-SA"/>
              </w:rPr>
              <w:t xml:space="preserve"> </w:t>
            </w:r>
            <w:r w:rsidRPr="0071258F">
              <w:rPr>
                <w:rFonts w:eastAsiaTheme="minorHAnsi"/>
                <w:lang w:val="en-US" w:bidi="ar-SA"/>
              </w:rPr>
              <w:t>Reaction to Fire Tests for Products - Determination of The Gross Heat of Combustion Calorific Value</w:t>
            </w:r>
          </w:p>
        </w:tc>
        <w:tc>
          <w:tcPr>
            <w:tcW w:w="2515" w:type="dxa"/>
            <w:vAlign w:val="center"/>
          </w:tcPr>
          <w:p w14:paraId="2F0CCBDF" w14:textId="09532702" w:rsidR="007F3111" w:rsidRDefault="0071258F" w:rsidP="0071258F">
            <w:pPr>
              <w:jc w:val="center"/>
            </w:pPr>
            <w:r>
              <w:rPr>
                <w:rFonts w:eastAsiaTheme="minorHAnsi"/>
                <w:lang w:val="en-US" w:bidi="ar-SA"/>
              </w:rPr>
              <w:t xml:space="preserve">Identical with </w:t>
            </w:r>
            <w:r w:rsidR="00096325" w:rsidRPr="008D4B9C">
              <w:rPr>
                <w:rFonts w:eastAsiaTheme="minorHAnsi"/>
                <w:lang w:val="en-US" w:bidi="ar-SA"/>
              </w:rPr>
              <w:t>ISO 1716:2018</w:t>
            </w:r>
          </w:p>
        </w:tc>
      </w:tr>
      <w:tr w:rsidR="007F3111" w14:paraId="561AA585" w14:textId="77777777" w:rsidTr="0071258F">
        <w:tc>
          <w:tcPr>
            <w:tcW w:w="3397" w:type="dxa"/>
          </w:tcPr>
          <w:p w14:paraId="6FEE528D" w14:textId="076F9160" w:rsidR="007F3111" w:rsidRPr="008D4B9C" w:rsidRDefault="007F3111" w:rsidP="007F3111">
            <w:pPr>
              <w:rPr>
                <w:rFonts w:eastAsiaTheme="minorHAnsi"/>
                <w:lang w:val="en-US" w:bidi="ar-SA"/>
              </w:rPr>
            </w:pPr>
            <w:r w:rsidRPr="008D4B9C">
              <w:rPr>
                <w:rFonts w:eastAsiaTheme="minorHAnsi"/>
                <w:lang w:val="en-US" w:bidi="ar-SA"/>
              </w:rPr>
              <w:t>ISO 6508-1:2016, Metallic materials – Rockwell hardness test – Part 1: Test method</w:t>
            </w:r>
          </w:p>
        </w:tc>
        <w:tc>
          <w:tcPr>
            <w:tcW w:w="4024" w:type="dxa"/>
          </w:tcPr>
          <w:p w14:paraId="24E1D207" w14:textId="71F06E65" w:rsidR="007F3111" w:rsidRPr="0071258F" w:rsidRDefault="00096325" w:rsidP="00E14E4A">
            <w:pPr>
              <w:rPr>
                <w:rFonts w:eastAsiaTheme="minorHAnsi"/>
                <w:lang w:val="en-US" w:bidi="ar-SA"/>
              </w:rPr>
            </w:pPr>
            <w:r w:rsidRPr="0071258F">
              <w:rPr>
                <w:rFonts w:eastAsiaTheme="minorHAnsi"/>
                <w:lang w:val="en-US" w:bidi="ar-SA"/>
              </w:rPr>
              <w:t>IS 1586 (Part 1) : 2018 Metallic materials - Rockwell hardness test: Part 1 test method (</w:t>
            </w:r>
            <w:r w:rsidRPr="0071258F">
              <w:rPr>
                <w:rFonts w:eastAsiaTheme="minorHAnsi"/>
                <w:i/>
                <w:lang w:val="en-US" w:bidi="ar-SA"/>
              </w:rPr>
              <w:t>Fifth Revision</w:t>
            </w:r>
            <w:r w:rsidRPr="0071258F">
              <w:rPr>
                <w:rFonts w:eastAsiaTheme="minorHAnsi"/>
                <w:lang w:val="en-US" w:bidi="ar-SA"/>
              </w:rPr>
              <w:t>)</w:t>
            </w:r>
          </w:p>
        </w:tc>
        <w:tc>
          <w:tcPr>
            <w:tcW w:w="2515" w:type="dxa"/>
            <w:vAlign w:val="center"/>
          </w:tcPr>
          <w:p w14:paraId="0643121D" w14:textId="563020D3" w:rsidR="007F3111" w:rsidRDefault="0071258F" w:rsidP="0071258F">
            <w:pPr>
              <w:jc w:val="center"/>
            </w:pPr>
            <w:r>
              <w:rPr>
                <w:rFonts w:eastAsiaTheme="minorHAnsi"/>
                <w:lang w:val="en-US" w:bidi="ar-SA"/>
              </w:rPr>
              <w:t xml:space="preserve">Identical with </w:t>
            </w:r>
            <w:r w:rsidRPr="008D4B9C">
              <w:rPr>
                <w:rFonts w:eastAsiaTheme="minorHAnsi"/>
                <w:lang w:val="en-US" w:bidi="ar-SA"/>
              </w:rPr>
              <w:t>ISO 6508-1:2016</w:t>
            </w:r>
          </w:p>
        </w:tc>
      </w:tr>
    </w:tbl>
    <w:p w14:paraId="413F621A" w14:textId="00142F3B" w:rsidR="00007770" w:rsidRDefault="00007770" w:rsidP="005D0798">
      <w:pPr>
        <w:jc w:val="both"/>
      </w:pPr>
    </w:p>
    <w:p w14:paraId="1D7C6017" w14:textId="37386687" w:rsidR="00007770" w:rsidRDefault="00007770" w:rsidP="00007770">
      <w:pPr>
        <w:jc w:val="both"/>
      </w:pPr>
      <w:r>
        <w:t>The technical committee has reviewed the provisions of the following international standards referred in this adopted standard and decided that they are acceptable for use in conjunction with this standard.</w:t>
      </w:r>
    </w:p>
    <w:p w14:paraId="09C20896" w14:textId="77777777" w:rsidR="00AA6D04" w:rsidRDefault="00AA6D04" w:rsidP="00007770">
      <w:pPr>
        <w:jc w:val="both"/>
      </w:pPr>
    </w:p>
    <w:tbl>
      <w:tblPr>
        <w:tblStyle w:val="TableGrid"/>
        <w:tblW w:w="0" w:type="auto"/>
        <w:jc w:val="center"/>
        <w:tblLook w:val="04A0" w:firstRow="1" w:lastRow="0" w:firstColumn="1" w:lastColumn="0" w:noHBand="0" w:noVBand="1"/>
      </w:tblPr>
      <w:tblGrid>
        <w:gridCol w:w="3114"/>
        <w:gridCol w:w="6940"/>
      </w:tblGrid>
      <w:tr w:rsidR="00AA6D04" w14:paraId="4D5A9041" w14:textId="77777777" w:rsidTr="00AA6D04">
        <w:trPr>
          <w:jc w:val="center"/>
        </w:trPr>
        <w:tc>
          <w:tcPr>
            <w:tcW w:w="3114" w:type="dxa"/>
          </w:tcPr>
          <w:p w14:paraId="30C07CE2" w14:textId="23262B25" w:rsidR="00AA6D04" w:rsidRDefault="00AA6D04" w:rsidP="00AA6D04">
            <w:pPr>
              <w:jc w:val="center"/>
              <w:rPr>
                <w:rFonts w:cs="Times New Roman"/>
              </w:rPr>
            </w:pPr>
            <w:r>
              <w:rPr>
                <w:rFonts w:cs="Times New Roman"/>
                <w:i/>
              </w:rPr>
              <w:t>International Standard</w:t>
            </w:r>
          </w:p>
        </w:tc>
        <w:tc>
          <w:tcPr>
            <w:tcW w:w="6940" w:type="dxa"/>
          </w:tcPr>
          <w:p w14:paraId="6383AB96" w14:textId="320E20F2" w:rsidR="00AA6D04" w:rsidRPr="00AA6D04" w:rsidRDefault="00AA6D04" w:rsidP="00AA6D04">
            <w:pPr>
              <w:jc w:val="center"/>
              <w:rPr>
                <w:rFonts w:cs="Times New Roman"/>
                <w:i/>
              </w:rPr>
            </w:pPr>
            <w:r>
              <w:rPr>
                <w:rFonts w:cs="Times New Roman"/>
                <w:i/>
              </w:rPr>
              <w:t>Title</w:t>
            </w:r>
          </w:p>
        </w:tc>
      </w:tr>
      <w:tr w:rsidR="0071258F" w14:paraId="0CE379F1" w14:textId="77777777" w:rsidTr="0071258F">
        <w:trPr>
          <w:jc w:val="center"/>
        </w:trPr>
        <w:tc>
          <w:tcPr>
            <w:tcW w:w="3114" w:type="dxa"/>
            <w:vAlign w:val="center"/>
          </w:tcPr>
          <w:p w14:paraId="2E9C07E8" w14:textId="0DC9C295" w:rsidR="0071258F" w:rsidRPr="0071258F" w:rsidRDefault="0071258F" w:rsidP="0071258F">
            <w:pPr>
              <w:jc w:val="center"/>
              <w:rPr>
                <w:rFonts w:eastAsiaTheme="minorHAnsi"/>
                <w:lang w:val="en-US" w:bidi="ar-SA"/>
              </w:rPr>
            </w:pPr>
            <w:r w:rsidRPr="0071258F">
              <w:rPr>
                <w:rFonts w:eastAsiaTheme="minorHAnsi"/>
                <w:lang w:val="en-US" w:bidi="ar-SA"/>
              </w:rPr>
              <w:t>IEC 62271-212:2016</w:t>
            </w:r>
          </w:p>
        </w:tc>
        <w:tc>
          <w:tcPr>
            <w:tcW w:w="6940" w:type="dxa"/>
            <w:vAlign w:val="center"/>
          </w:tcPr>
          <w:p w14:paraId="32E817BD" w14:textId="154C2A6E" w:rsidR="0071258F" w:rsidRPr="0071258F" w:rsidRDefault="0071258F" w:rsidP="0071258F">
            <w:pPr>
              <w:rPr>
                <w:rFonts w:eastAsiaTheme="minorHAnsi"/>
                <w:lang w:val="en-US" w:bidi="ar-SA"/>
              </w:rPr>
            </w:pPr>
            <w:r w:rsidRPr="0071258F">
              <w:rPr>
                <w:rFonts w:eastAsiaTheme="minorHAnsi"/>
                <w:lang w:val="en-US" w:bidi="ar-SA"/>
              </w:rPr>
              <w:t xml:space="preserve">High-voltage switchgear and </w:t>
            </w:r>
            <w:proofErr w:type="spellStart"/>
            <w:r w:rsidRPr="0071258F">
              <w:rPr>
                <w:rFonts w:eastAsiaTheme="minorHAnsi"/>
                <w:lang w:val="en-US" w:bidi="ar-SA"/>
              </w:rPr>
              <w:t>controlgear</w:t>
            </w:r>
            <w:proofErr w:type="spellEnd"/>
            <w:r w:rsidRPr="0071258F">
              <w:rPr>
                <w:rFonts w:eastAsiaTheme="minorHAnsi"/>
                <w:lang w:val="en-US" w:bidi="ar-SA"/>
              </w:rPr>
              <w:t xml:space="preserve"> – Part 212: Compact Equipment Assembly for Distribution Substation (CEADS)</w:t>
            </w:r>
          </w:p>
        </w:tc>
      </w:tr>
      <w:tr w:rsidR="00A602D7" w14:paraId="5064D5BC" w14:textId="77777777" w:rsidTr="0071258F">
        <w:trPr>
          <w:jc w:val="center"/>
        </w:trPr>
        <w:tc>
          <w:tcPr>
            <w:tcW w:w="3114" w:type="dxa"/>
            <w:vAlign w:val="center"/>
          </w:tcPr>
          <w:p w14:paraId="250A8312" w14:textId="5B5D1A9D" w:rsidR="00A602D7" w:rsidRPr="0071258F" w:rsidRDefault="00A602D7" w:rsidP="0071258F">
            <w:pPr>
              <w:jc w:val="center"/>
              <w:rPr>
                <w:rFonts w:eastAsiaTheme="minorHAnsi"/>
                <w:lang w:val="en-US" w:bidi="ar-SA"/>
              </w:rPr>
            </w:pPr>
            <w:r w:rsidRPr="0071258F">
              <w:rPr>
                <w:rFonts w:eastAsiaTheme="minorHAnsi"/>
                <w:lang w:val="en-US" w:bidi="ar-SA"/>
              </w:rPr>
              <w:t>IEC 61180-1:1992</w:t>
            </w:r>
          </w:p>
        </w:tc>
        <w:tc>
          <w:tcPr>
            <w:tcW w:w="6940" w:type="dxa"/>
            <w:vAlign w:val="center"/>
          </w:tcPr>
          <w:p w14:paraId="1F530EA0" w14:textId="648851B3" w:rsidR="00A602D7" w:rsidRPr="0071258F" w:rsidRDefault="00A602D7" w:rsidP="0071258F">
            <w:pPr>
              <w:rPr>
                <w:rFonts w:eastAsiaTheme="minorHAnsi"/>
                <w:lang w:val="en-US" w:bidi="ar-SA"/>
              </w:rPr>
            </w:pPr>
            <w:r w:rsidRPr="0071258F">
              <w:rPr>
                <w:rFonts w:eastAsiaTheme="minorHAnsi"/>
                <w:lang w:val="en-US" w:bidi="ar-SA"/>
              </w:rPr>
              <w:t>High-voltage test techniques for low voltage equipment – Part 1: Definitions, test and procedure requirements</w:t>
            </w:r>
          </w:p>
        </w:tc>
      </w:tr>
      <w:tr w:rsidR="00A602D7" w14:paraId="072BD288" w14:textId="77777777" w:rsidTr="0071258F">
        <w:trPr>
          <w:jc w:val="center"/>
        </w:trPr>
        <w:tc>
          <w:tcPr>
            <w:tcW w:w="3114" w:type="dxa"/>
            <w:vAlign w:val="center"/>
          </w:tcPr>
          <w:p w14:paraId="265CE3A2" w14:textId="3FB59448" w:rsidR="00A602D7" w:rsidRPr="0071258F" w:rsidRDefault="00A602D7" w:rsidP="0071258F">
            <w:pPr>
              <w:jc w:val="center"/>
              <w:rPr>
                <w:rFonts w:eastAsiaTheme="minorHAnsi"/>
                <w:lang w:val="en-US" w:bidi="ar-SA"/>
              </w:rPr>
            </w:pPr>
            <w:r w:rsidRPr="008D4B9C">
              <w:rPr>
                <w:rFonts w:eastAsiaTheme="minorHAnsi"/>
                <w:lang w:val="en-US" w:bidi="ar-SA"/>
              </w:rPr>
              <w:t>EN 10025-2:2019</w:t>
            </w:r>
          </w:p>
        </w:tc>
        <w:tc>
          <w:tcPr>
            <w:tcW w:w="6940" w:type="dxa"/>
            <w:vAlign w:val="center"/>
          </w:tcPr>
          <w:p w14:paraId="54958568" w14:textId="0F98AC63" w:rsidR="00A602D7" w:rsidRPr="0071258F" w:rsidRDefault="00A602D7" w:rsidP="0071258F">
            <w:pPr>
              <w:rPr>
                <w:rFonts w:eastAsiaTheme="minorHAnsi"/>
                <w:lang w:val="en-US" w:bidi="ar-SA"/>
              </w:rPr>
            </w:pPr>
            <w:r w:rsidRPr="008D4B9C">
              <w:rPr>
                <w:rFonts w:eastAsiaTheme="minorHAnsi"/>
                <w:lang w:val="en-US" w:bidi="ar-SA"/>
              </w:rPr>
              <w:t>Hot rolled products of structural steels – Part 2: Technical delivery conditions</w:t>
            </w:r>
            <w:r>
              <w:rPr>
                <w:rFonts w:eastAsiaTheme="minorHAnsi"/>
                <w:lang w:val="en-US" w:bidi="ar-SA"/>
              </w:rPr>
              <w:t xml:space="preserve"> </w:t>
            </w:r>
            <w:r w:rsidRPr="008D4B9C">
              <w:rPr>
                <w:rFonts w:eastAsiaTheme="minorHAnsi"/>
                <w:lang w:val="en-US" w:bidi="ar-SA"/>
              </w:rPr>
              <w:t>for non-alloy structural steels</w:t>
            </w:r>
          </w:p>
        </w:tc>
      </w:tr>
    </w:tbl>
    <w:p w14:paraId="35C8570F" w14:textId="77777777" w:rsidR="007E0BED" w:rsidRDefault="007E0BED" w:rsidP="007E0BED">
      <w:pPr>
        <w:jc w:val="both"/>
        <w:rPr>
          <w:rFonts w:cs="Times New Roman"/>
        </w:rPr>
      </w:pPr>
    </w:p>
    <w:p w14:paraId="61C0A18E" w14:textId="77777777" w:rsidR="007E0BED" w:rsidRPr="001E7B73" w:rsidRDefault="007E0BED" w:rsidP="007E0BED">
      <w:pPr>
        <w:jc w:val="both"/>
        <w:rPr>
          <w:rFonts w:cs="Times New Roman"/>
        </w:rPr>
      </w:pPr>
      <w:r w:rsidRPr="001E7B73">
        <w:rPr>
          <w:rFonts w:cs="Times New Roman"/>
        </w:rPr>
        <w:t>Only the English language text has been retained while adopting it in this Indian Standard, and as such, the page numbers given here are not the same as in the IEC Publication.</w:t>
      </w:r>
    </w:p>
    <w:p w14:paraId="1FAF5450" w14:textId="77777777" w:rsidR="007E0BED" w:rsidRPr="001E7B73" w:rsidRDefault="007E0BED" w:rsidP="007E0BED">
      <w:pPr>
        <w:jc w:val="both"/>
        <w:rPr>
          <w:rFonts w:cs="Times New Roman"/>
        </w:rPr>
      </w:pPr>
    </w:p>
    <w:p w14:paraId="37B4A434" w14:textId="0F650ACE" w:rsidR="007E0BED" w:rsidRDefault="007E0BED" w:rsidP="00E706CF">
      <w:pPr>
        <w:jc w:val="both"/>
        <w:rPr>
          <w:rFonts w:cs="Times New Roman"/>
        </w:rPr>
      </w:pPr>
      <w:r w:rsidRPr="001E7B73">
        <w:rPr>
          <w:rFonts w:cs="Times New Roman"/>
        </w:rPr>
        <w:t>For the purpose of deciding whether a particular requirement of this standard is complied with the final value, observed or calculated expressing the result of a test or analysis shall be rounded o</w:t>
      </w:r>
      <w:r w:rsidR="004A485D">
        <w:rPr>
          <w:rFonts w:cs="Times New Roman"/>
        </w:rPr>
        <w:t>ff in accordance with IS 2: 2022</w:t>
      </w:r>
      <w:r w:rsidRPr="001E7B73">
        <w:rPr>
          <w:rFonts w:cs="Times New Roman"/>
        </w:rPr>
        <w:t xml:space="preserve"> ‘Rules for rounding of numerical values (</w:t>
      </w:r>
      <w:r w:rsidR="008D4B9C" w:rsidRPr="008D4B9C">
        <w:rPr>
          <w:rFonts w:cs="Times New Roman"/>
          <w:i/>
        </w:rPr>
        <w:t>Second</w:t>
      </w:r>
      <w:r w:rsidR="008D4B9C">
        <w:rPr>
          <w:rFonts w:cs="Times New Roman"/>
        </w:rPr>
        <w:t xml:space="preserve"> </w:t>
      </w:r>
      <w:r w:rsidR="008D4B9C">
        <w:rPr>
          <w:rFonts w:cs="Times New Roman"/>
          <w:i/>
          <w:iCs/>
        </w:rPr>
        <w:t>Revision</w:t>
      </w:r>
      <w:r w:rsidRPr="001E7B73">
        <w:rPr>
          <w:rFonts w:cs="Times New Roman"/>
        </w:rPr>
        <w:t>)’. The number of significant places retained in the rounded off value should be the same as that of the specified value in this standard.</w:t>
      </w:r>
    </w:p>
    <w:p w14:paraId="325C3643" w14:textId="169A6F60" w:rsidR="005A629F" w:rsidRDefault="005A629F" w:rsidP="00E706CF">
      <w:pPr>
        <w:jc w:val="both"/>
        <w:rPr>
          <w:rFonts w:cs="Times New Roman"/>
        </w:rPr>
      </w:pPr>
    </w:p>
    <w:sectPr w:rsidR="005A629F" w:rsidSect="00C42AA1">
      <w:headerReference w:type="default" r:id="rId10"/>
      <w:pgSz w:w="11906" w:h="16838"/>
      <w:pgMar w:top="709"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0DDF" w14:textId="77777777" w:rsidR="00B52EC5" w:rsidRDefault="00B52EC5">
      <w:r>
        <w:separator/>
      </w:r>
    </w:p>
  </w:endnote>
  <w:endnote w:type="continuationSeparator" w:id="0">
    <w:p w14:paraId="0D362EFB" w14:textId="77777777" w:rsidR="00B52EC5" w:rsidRDefault="00B5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BAF0" w14:textId="77777777" w:rsidR="00B52EC5" w:rsidRDefault="00B52EC5">
      <w:r>
        <w:separator/>
      </w:r>
    </w:p>
  </w:footnote>
  <w:footnote w:type="continuationSeparator" w:id="0">
    <w:p w14:paraId="7A3490ED" w14:textId="77777777" w:rsidR="00B52EC5" w:rsidRDefault="00B52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BFE9" w14:textId="1DFFC032" w:rsidR="004A0586" w:rsidRDefault="003F1DEE" w:rsidP="00413098">
    <w:pPr>
      <w:pStyle w:val="Header"/>
    </w:pPr>
    <w:r>
      <w:ptab w:relativeTo="margin" w:alignment="center" w:leader="none"/>
    </w:r>
    <w:r w:rsidR="00275A71">
      <w:ptab w:relativeTo="margin" w:alignment="center" w:leader="none"/>
    </w:r>
    <w:r w:rsidR="00275A71">
      <w:tab/>
    </w:r>
  </w:p>
  <w:p w14:paraId="3F66A09B" w14:textId="77777777" w:rsidR="00E706CF" w:rsidRDefault="00E706CF" w:rsidP="000917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050"/>
    <w:multiLevelType w:val="hybridMultilevel"/>
    <w:tmpl w:val="B9D811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9675A3"/>
    <w:multiLevelType w:val="hybridMultilevel"/>
    <w:tmpl w:val="9BCC51DA"/>
    <w:lvl w:ilvl="0" w:tplc="354C01AC">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7MwNjIytzAzMTBV0lEKTi0uzszPAykwrgUALLpSDiwAAAA="/>
  </w:docVars>
  <w:rsids>
    <w:rsidRoot w:val="007E0BED"/>
    <w:rsid w:val="0000426D"/>
    <w:rsid w:val="00005D74"/>
    <w:rsid w:val="00007770"/>
    <w:rsid w:val="00043CCB"/>
    <w:rsid w:val="00091775"/>
    <w:rsid w:val="00096325"/>
    <w:rsid w:val="00117E3B"/>
    <w:rsid w:val="00117F90"/>
    <w:rsid w:val="001477ED"/>
    <w:rsid w:val="00154B84"/>
    <w:rsid w:val="0018513D"/>
    <w:rsid w:val="001C6655"/>
    <w:rsid w:val="001F430D"/>
    <w:rsid w:val="00224EE5"/>
    <w:rsid w:val="00275A71"/>
    <w:rsid w:val="00292864"/>
    <w:rsid w:val="002C5551"/>
    <w:rsid w:val="002D52FE"/>
    <w:rsid w:val="002F14A1"/>
    <w:rsid w:val="002F3522"/>
    <w:rsid w:val="003202D6"/>
    <w:rsid w:val="00332CB0"/>
    <w:rsid w:val="00353E6A"/>
    <w:rsid w:val="00386278"/>
    <w:rsid w:val="003B1F22"/>
    <w:rsid w:val="003B6430"/>
    <w:rsid w:val="003D4BE5"/>
    <w:rsid w:val="003E042D"/>
    <w:rsid w:val="003F1DEE"/>
    <w:rsid w:val="00413098"/>
    <w:rsid w:val="00414BCA"/>
    <w:rsid w:val="00417CE4"/>
    <w:rsid w:val="0044289E"/>
    <w:rsid w:val="004A0586"/>
    <w:rsid w:val="004A485D"/>
    <w:rsid w:val="004F770D"/>
    <w:rsid w:val="00503C1B"/>
    <w:rsid w:val="005238DF"/>
    <w:rsid w:val="00545679"/>
    <w:rsid w:val="00581C17"/>
    <w:rsid w:val="005A629F"/>
    <w:rsid w:val="005D0798"/>
    <w:rsid w:val="00624B32"/>
    <w:rsid w:val="0066274E"/>
    <w:rsid w:val="00682F78"/>
    <w:rsid w:val="006936FC"/>
    <w:rsid w:val="006B2A1B"/>
    <w:rsid w:val="006C36D5"/>
    <w:rsid w:val="006F2B7C"/>
    <w:rsid w:val="0071258F"/>
    <w:rsid w:val="00722DD5"/>
    <w:rsid w:val="00784CF2"/>
    <w:rsid w:val="007E0BED"/>
    <w:rsid w:val="007E22E7"/>
    <w:rsid w:val="007F3111"/>
    <w:rsid w:val="00806985"/>
    <w:rsid w:val="00826B7A"/>
    <w:rsid w:val="008528DE"/>
    <w:rsid w:val="00874BB1"/>
    <w:rsid w:val="00884739"/>
    <w:rsid w:val="0088549E"/>
    <w:rsid w:val="008A0256"/>
    <w:rsid w:val="008A281D"/>
    <w:rsid w:val="008D07C9"/>
    <w:rsid w:val="008D4B9C"/>
    <w:rsid w:val="008E5BE9"/>
    <w:rsid w:val="00924E68"/>
    <w:rsid w:val="00940927"/>
    <w:rsid w:val="00950769"/>
    <w:rsid w:val="00974560"/>
    <w:rsid w:val="009A4BA2"/>
    <w:rsid w:val="009D615E"/>
    <w:rsid w:val="00A3167F"/>
    <w:rsid w:val="00A41384"/>
    <w:rsid w:val="00A42DF6"/>
    <w:rsid w:val="00A602D7"/>
    <w:rsid w:val="00A75035"/>
    <w:rsid w:val="00AA6D04"/>
    <w:rsid w:val="00B36973"/>
    <w:rsid w:val="00B46B9B"/>
    <w:rsid w:val="00B52EC5"/>
    <w:rsid w:val="00B75440"/>
    <w:rsid w:val="00BA7A25"/>
    <w:rsid w:val="00BC6493"/>
    <w:rsid w:val="00BE51EB"/>
    <w:rsid w:val="00BF7FD4"/>
    <w:rsid w:val="00C10CA9"/>
    <w:rsid w:val="00C42AA1"/>
    <w:rsid w:val="00C431AC"/>
    <w:rsid w:val="00C447AB"/>
    <w:rsid w:val="00C534DA"/>
    <w:rsid w:val="00C56FF7"/>
    <w:rsid w:val="00C62F20"/>
    <w:rsid w:val="00C92236"/>
    <w:rsid w:val="00CC61BE"/>
    <w:rsid w:val="00D022CF"/>
    <w:rsid w:val="00D51AA3"/>
    <w:rsid w:val="00D643CB"/>
    <w:rsid w:val="00E062E3"/>
    <w:rsid w:val="00E14E4A"/>
    <w:rsid w:val="00E706CF"/>
    <w:rsid w:val="00EB1964"/>
    <w:rsid w:val="00EC3AA8"/>
    <w:rsid w:val="00ED5510"/>
    <w:rsid w:val="00F4402E"/>
    <w:rsid w:val="00F57C66"/>
    <w:rsid w:val="00F76AB5"/>
    <w:rsid w:val="00F805EF"/>
    <w:rsid w:val="00FA3C8F"/>
    <w:rsid w:val="00FC4178"/>
    <w:rsid w:val="00FC5200"/>
    <w:rsid w:val="00FD00EB"/>
    <w:rsid w:val="00FD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19C23"/>
  <w15:chartTrackingRefBased/>
  <w15:docId w15:val="{AAE5239D-9398-480D-B4C5-3B2A79F3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ED"/>
    <w:pPr>
      <w:spacing w:after="0" w:line="240" w:lineRule="auto"/>
    </w:pPr>
    <w:rPr>
      <w:rFonts w:ascii="Times New Roman" w:eastAsia="Times New Roman" w:hAnsi="Times New Roman" w:cs="Mangal"/>
      <w:sz w:val="24"/>
      <w:szCs w:val="24"/>
      <w:lang w:val="en-IN" w:bidi="hi-IN"/>
    </w:rPr>
  </w:style>
  <w:style w:type="paragraph" w:styleId="Heading4">
    <w:name w:val="heading 4"/>
    <w:basedOn w:val="Normal"/>
    <w:link w:val="Heading4Char"/>
    <w:uiPriority w:val="9"/>
    <w:qFormat/>
    <w:rsid w:val="002C5551"/>
    <w:pPr>
      <w:spacing w:before="100" w:beforeAutospacing="1" w:after="100" w:afterAutospacing="1"/>
      <w:outlineLvl w:val="3"/>
    </w:pPr>
    <w:rPr>
      <w:rFonts w:cs="Times New Roman"/>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0BED"/>
    <w:pPr>
      <w:spacing w:after="120" w:line="276" w:lineRule="auto"/>
    </w:pPr>
    <w:rPr>
      <w:rFonts w:ascii="Calibri" w:eastAsia="Calibri" w:hAnsi="Calibri" w:cs="Times New Roman"/>
      <w:sz w:val="22"/>
      <w:szCs w:val="22"/>
      <w:lang w:val="en-US" w:bidi="ar-SA"/>
    </w:rPr>
  </w:style>
  <w:style w:type="character" w:customStyle="1" w:styleId="BodyTextChar">
    <w:name w:val="Body Text Char"/>
    <w:basedOn w:val="DefaultParagraphFont"/>
    <w:link w:val="BodyText"/>
    <w:rsid w:val="007E0BED"/>
    <w:rPr>
      <w:rFonts w:ascii="Calibri" w:eastAsia="Calibri" w:hAnsi="Calibri" w:cs="Times New Roman"/>
    </w:rPr>
  </w:style>
  <w:style w:type="paragraph" w:styleId="Header">
    <w:name w:val="header"/>
    <w:basedOn w:val="Normal"/>
    <w:link w:val="HeaderChar"/>
    <w:uiPriority w:val="99"/>
    <w:unhideWhenUsed/>
    <w:rsid w:val="007E0BED"/>
    <w:pPr>
      <w:tabs>
        <w:tab w:val="center" w:pos="4513"/>
        <w:tab w:val="right" w:pos="9026"/>
      </w:tabs>
    </w:pPr>
    <w:rPr>
      <w:szCs w:val="21"/>
    </w:rPr>
  </w:style>
  <w:style w:type="character" w:customStyle="1" w:styleId="HeaderChar">
    <w:name w:val="Header Char"/>
    <w:basedOn w:val="DefaultParagraphFont"/>
    <w:link w:val="Header"/>
    <w:uiPriority w:val="99"/>
    <w:rsid w:val="007E0BED"/>
    <w:rPr>
      <w:rFonts w:ascii="Times New Roman" w:eastAsia="Times New Roman" w:hAnsi="Times New Roman" w:cs="Mangal"/>
      <w:sz w:val="24"/>
      <w:szCs w:val="21"/>
      <w:lang w:val="en-IN" w:bidi="hi-IN"/>
    </w:rPr>
  </w:style>
  <w:style w:type="paragraph" w:styleId="Footer">
    <w:name w:val="footer"/>
    <w:basedOn w:val="Normal"/>
    <w:link w:val="FooterChar"/>
    <w:uiPriority w:val="99"/>
    <w:unhideWhenUsed/>
    <w:rsid w:val="00275A71"/>
    <w:pPr>
      <w:tabs>
        <w:tab w:val="center" w:pos="4680"/>
        <w:tab w:val="right" w:pos="9360"/>
      </w:tabs>
    </w:pPr>
    <w:rPr>
      <w:szCs w:val="21"/>
    </w:rPr>
  </w:style>
  <w:style w:type="character" w:customStyle="1" w:styleId="FooterChar">
    <w:name w:val="Footer Char"/>
    <w:basedOn w:val="DefaultParagraphFont"/>
    <w:link w:val="Footer"/>
    <w:uiPriority w:val="99"/>
    <w:rsid w:val="00275A71"/>
    <w:rPr>
      <w:rFonts w:ascii="Times New Roman" w:eastAsia="Times New Roman" w:hAnsi="Times New Roman" w:cs="Mangal"/>
      <w:sz w:val="24"/>
      <w:szCs w:val="21"/>
      <w:lang w:val="en-IN" w:bidi="hi-IN"/>
    </w:rPr>
  </w:style>
  <w:style w:type="paragraph" w:styleId="HTMLPreformatted">
    <w:name w:val="HTML Preformatted"/>
    <w:basedOn w:val="Normal"/>
    <w:link w:val="HTMLPreformattedChar"/>
    <w:uiPriority w:val="99"/>
    <w:semiHidden/>
    <w:unhideWhenUsed/>
    <w:rsid w:val="0027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bidi="ar-SA"/>
    </w:rPr>
  </w:style>
  <w:style w:type="character" w:customStyle="1" w:styleId="HTMLPreformattedChar">
    <w:name w:val="HTML Preformatted Char"/>
    <w:basedOn w:val="DefaultParagraphFont"/>
    <w:link w:val="HTMLPreformatted"/>
    <w:uiPriority w:val="99"/>
    <w:semiHidden/>
    <w:rsid w:val="00275A71"/>
    <w:rPr>
      <w:rFonts w:ascii="Courier New" w:eastAsia="Times New Roman" w:hAnsi="Courier New" w:cs="Courier New"/>
      <w:sz w:val="20"/>
      <w:szCs w:val="20"/>
    </w:rPr>
  </w:style>
  <w:style w:type="character" w:customStyle="1" w:styleId="y2iqfc">
    <w:name w:val="y2iqfc"/>
    <w:basedOn w:val="DefaultParagraphFont"/>
    <w:rsid w:val="00275A71"/>
  </w:style>
  <w:style w:type="character" w:customStyle="1" w:styleId="Heading4Char">
    <w:name w:val="Heading 4 Char"/>
    <w:basedOn w:val="DefaultParagraphFont"/>
    <w:link w:val="Heading4"/>
    <w:uiPriority w:val="9"/>
    <w:rsid w:val="002C5551"/>
    <w:rPr>
      <w:rFonts w:ascii="Times New Roman" w:eastAsia="Times New Roman" w:hAnsi="Times New Roman" w:cs="Times New Roman"/>
      <w:b/>
      <w:bCs/>
      <w:sz w:val="24"/>
      <w:szCs w:val="24"/>
    </w:rPr>
  </w:style>
  <w:style w:type="table" w:styleId="TableGrid">
    <w:name w:val="Table Grid"/>
    <w:basedOn w:val="TableNormal"/>
    <w:uiPriority w:val="39"/>
    <w:rsid w:val="005D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798"/>
    <w:pPr>
      <w:spacing w:after="0"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D643CB"/>
  </w:style>
  <w:style w:type="character" w:styleId="Hyperlink">
    <w:name w:val="Hyperlink"/>
    <w:basedOn w:val="DefaultParagraphFont"/>
    <w:uiPriority w:val="99"/>
    <w:semiHidden/>
    <w:unhideWhenUsed/>
    <w:rsid w:val="002D52FE"/>
    <w:rPr>
      <w:color w:val="0000FF"/>
      <w:u w:val="single"/>
    </w:rPr>
  </w:style>
  <w:style w:type="paragraph" w:styleId="ListParagraph">
    <w:name w:val="List Paragraph"/>
    <w:basedOn w:val="Normal"/>
    <w:uiPriority w:val="34"/>
    <w:qFormat/>
    <w:rsid w:val="00A41384"/>
    <w:pPr>
      <w:ind w:left="720"/>
      <w:contextualSpacing/>
    </w:pPr>
    <w:rPr>
      <w:szCs w:val="21"/>
    </w:rPr>
  </w:style>
  <w:style w:type="paragraph" w:styleId="BalloonText">
    <w:name w:val="Balloon Text"/>
    <w:basedOn w:val="Normal"/>
    <w:link w:val="BalloonTextChar"/>
    <w:uiPriority w:val="99"/>
    <w:semiHidden/>
    <w:unhideWhenUsed/>
    <w:rsid w:val="001C6655"/>
    <w:rPr>
      <w:rFonts w:ascii="Segoe UI" w:hAnsi="Segoe UI"/>
      <w:sz w:val="18"/>
      <w:szCs w:val="16"/>
    </w:rPr>
  </w:style>
  <w:style w:type="character" w:customStyle="1" w:styleId="BalloonTextChar">
    <w:name w:val="Balloon Text Char"/>
    <w:basedOn w:val="DefaultParagraphFont"/>
    <w:link w:val="BalloonText"/>
    <w:uiPriority w:val="99"/>
    <w:semiHidden/>
    <w:rsid w:val="001C6655"/>
    <w:rPr>
      <w:rFonts w:ascii="Segoe UI" w:eastAsia="Times New Roman" w:hAnsi="Segoe UI" w:cs="Mangal"/>
      <w:sz w:val="18"/>
      <w:szCs w:val="16"/>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389">
      <w:bodyDiv w:val="1"/>
      <w:marLeft w:val="0"/>
      <w:marRight w:val="0"/>
      <w:marTop w:val="0"/>
      <w:marBottom w:val="0"/>
      <w:divBdr>
        <w:top w:val="none" w:sz="0" w:space="0" w:color="auto"/>
        <w:left w:val="none" w:sz="0" w:space="0" w:color="auto"/>
        <w:bottom w:val="none" w:sz="0" w:space="0" w:color="auto"/>
        <w:right w:val="none" w:sz="0" w:space="0" w:color="auto"/>
      </w:divBdr>
      <w:divsChild>
        <w:div w:id="880244958">
          <w:marLeft w:val="-113"/>
          <w:marRight w:val="-113"/>
          <w:marTop w:val="0"/>
          <w:marBottom w:val="0"/>
          <w:divBdr>
            <w:top w:val="none" w:sz="0" w:space="0" w:color="auto"/>
            <w:left w:val="none" w:sz="0" w:space="0" w:color="auto"/>
            <w:bottom w:val="none" w:sz="0" w:space="0" w:color="auto"/>
            <w:right w:val="none" w:sz="0" w:space="0" w:color="auto"/>
          </w:divBdr>
        </w:div>
      </w:divsChild>
    </w:div>
    <w:div w:id="129831662">
      <w:bodyDiv w:val="1"/>
      <w:marLeft w:val="0"/>
      <w:marRight w:val="0"/>
      <w:marTop w:val="0"/>
      <w:marBottom w:val="0"/>
      <w:divBdr>
        <w:top w:val="none" w:sz="0" w:space="0" w:color="auto"/>
        <w:left w:val="none" w:sz="0" w:space="0" w:color="auto"/>
        <w:bottom w:val="none" w:sz="0" w:space="0" w:color="auto"/>
        <w:right w:val="none" w:sz="0" w:space="0" w:color="auto"/>
      </w:divBdr>
      <w:divsChild>
        <w:div w:id="251471253">
          <w:marLeft w:val="-113"/>
          <w:marRight w:val="-113"/>
          <w:marTop w:val="0"/>
          <w:marBottom w:val="0"/>
          <w:divBdr>
            <w:top w:val="none" w:sz="0" w:space="0" w:color="auto"/>
            <w:left w:val="none" w:sz="0" w:space="0" w:color="auto"/>
            <w:bottom w:val="none" w:sz="0" w:space="0" w:color="auto"/>
            <w:right w:val="none" w:sz="0" w:space="0" w:color="auto"/>
          </w:divBdr>
        </w:div>
      </w:divsChild>
    </w:div>
    <w:div w:id="160590226">
      <w:bodyDiv w:val="1"/>
      <w:marLeft w:val="0"/>
      <w:marRight w:val="0"/>
      <w:marTop w:val="0"/>
      <w:marBottom w:val="0"/>
      <w:divBdr>
        <w:top w:val="none" w:sz="0" w:space="0" w:color="auto"/>
        <w:left w:val="none" w:sz="0" w:space="0" w:color="auto"/>
        <w:bottom w:val="none" w:sz="0" w:space="0" w:color="auto"/>
        <w:right w:val="none" w:sz="0" w:space="0" w:color="auto"/>
      </w:divBdr>
    </w:div>
    <w:div w:id="246379880">
      <w:bodyDiv w:val="1"/>
      <w:marLeft w:val="0"/>
      <w:marRight w:val="0"/>
      <w:marTop w:val="0"/>
      <w:marBottom w:val="0"/>
      <w:divBdr>
        <w:top w:val="none" w:sz="0" w:space="0" w:color="auto"/>
        <w:left w:val="none" w:sz="0" w:space="0" w:color="auto"/>
        <w:bottom w:val="none" w:sz="0" w:space="0" w:color="auto"/>
        <w:right w:val="none" w:sz="0" w:space="0" w:color="auto"/>
      </w:divBdr>
      <w:divsChild>
        <w:div w:id="113408254">
          <w:marLeft w:val="-113"/>
          <w:marRight w:val="-113"/>
          <w:marTop w:val="0"/>
          <w:marBottom w:val="0"/>
          <w:divBdr>
            <w:top w:val="none" w:sz="0" w:space="0" w:color="auto"/>
            <w:left w:val="none" w:sz="0" w:space="0" w:color="auto"/>
            <w:bottom w:val="none" w:sz="0" w:space="0" w:color="auto"/>
            <w:right w:val="none" w:sz="0" w:space="0" w:color="auto"/>
          </w:divBdr>
        </w:div>
      </w:divsChild>
    </w:div>
    <w:div w:id="275717297">
      <w:bodyDiv w:val="1"/>
      <w:marLeft w:val="0"/>
      <w:marRight w:val="0"/>
      <w:marTop w:val="0"/>
      <w:marBottom w:val="0"/>
      <w:divBdr>
        <w:top w:val="none" w:sz="0" w:space="0" w:color="auto"/>
        <w:left w:val="none" w:sz="0" w:space="0" w:color="auto"/>
        <w:bottom w:val="none" w:sz="0" w:space="0" w:color="auto"/>
        <w:right w:val="none" w:sz="0" w:space="0" w:color="auto"/>
      </w:divBdr>
    </w:div>
    <w:div w:id="327486100">
      <w:bodyDiv w:val="1"/>
      <w:marLeft w:val="0"/>
      <w:marRight w:val="0"/>
      <w:marTop w:val="0"/>
      <w:marBottom w:val="0"/>
      <w:divBdr>
        <w:top w:val="none" w:sz="0" w:space="0" w:color="auto"/>
        <w:left w:val="none" w:sz="0" w:space="0" w:color="auto"/>
        <w:bottom w:val="none" w:sz="0" w:space="0" w:color="auto"/>
        <w:right w:val="none" w:sz="0" w:space="0" w:color="auto"/>
      </w:divBdr>
      <w:divsChild>
        <w:div w:id="600140618">
          <w:marLeft w:val="-113"/>
          <w:marRight w:val="-113"/>
          <w:marTop w:val="0"/>
          <w:marBottom w:val="0"/>
          <w:divBdr>
            <w:top w:val="none" w:sz="0" w:space="0" w:color="auto"/>
            <w:left w:val="none" w:sz="0" w:space="0" w:color="auto"/>
            <w:bottom w:val="none" w:sz="0" w:space="0" w:color="auto"/>
            <w:right w:val="none" w:sz="0" w:space="0" w:color="auto"/>
          </w:divBdr>
        </w:div>
      </w:divsChild>
    </w:div>
    <w:div w:id="345985957">
      <w:bodyDiv w:val="1"/>
      <w:marLeft w:val="0"/>
      <w:marRight w:val="0"/>
      <w:marTop w:val="0"/>
      <w:marBottom w:val="0"/>
      <w:divBdr>
        <w:top w:val="none" w:sz="0" w:space="0" w:color="auto"/>
        <w:left w:val="none" w:sz="0" w:space="0" w:color="auto"/>
        <w:bottom w:val="none" w:sz="0" w:space="0" w:color="auto"/>
        <w:right w:val="none" w:sz="0" w:space="0" w:color="auto"/>
      </w:divBdr>
    </w:div>
    <w:div w:id="490877591">
      <w:bodyDiv w:val="1"/>
      <w:marLeft w:val="0"/>
      <w:marRight w:val="0"/>
      <w:marTop w:val="0"/>
      <w:marBottom w:val="0"/>
      <w:divBdr>
        <w:top w:val="none" w:sz="0" w:space="0" w:color="auto"/>
        <w:left w:val="none" w:sz="0" w:space="0" w:color="auto"/>
        <w:bottom w:val="none" w:sz="0" w:space="0" w:color="auto"/>
        <w:right w:val="none" w:sz="0" w:space="0" w:color="auto"/>
      </w:divBdr>
      <w:divsChild>
        <w:div w:id="946161588">
          <w:marLeft w:val="-113"/>
          <w:marRight w:val="-113"/>
          <w:marTop w:val="0"/>
          <w:marBottom w:val="0"/>
          <w:divBdr>
            <w:top w:val="none" w:sz="0" w:space="0" w:color="auto"/>
            <w:left w:val="none" w:sz="0" w:space="0" w:color="auto"/>
            <w:bottom w:val="none" w:sz="0" w:space="0" w:color="auto"/>
            <w:right w:val="none" w:sz="0" w:space="0" w:color="auto"/>
          </w:divBdr>
        </w:div>
      </w:divsChild>
    </w:div>
    <w:div w:id="739719334">
      <w:bodyDiv w:val="1"/>
      <w:marLeft w:val="0"/>
      <w:marRight w:val="0"/>
      <w:marTop w:val="0"/>
      <w:marBottom w:val="0"/>
      <w:divBdr>
        <w:top w:val="none" w:sz="0" w:space="0" w:color="auto"/>
        <w:left w:val="none" w:sz="0" w:space="0" w:color="auto"/>
        <w:bottom w:val="none" w:sz="0" w:space="0" w:color="auto"/>
        <w:right w:val="none" w:sz="0" w:space="0" w:color="auto"/>
      </w:divBdr>
      <w:divsChild>
        <w:div w:id="1002120738">
          <w:marLeft w:val="-113"/>
          <w:marRight w:val="-113"/>
          <w:marTop w:val="0"/>
          <w:marBottom w:val="0"/>
          <w:divBdr>
            <w:top w:val="none" w:sz="0" w:space="0" w:color="auto"/>
            <w:left w:val="none" w:sz="0" w:space="0" w:color="auto"/>
            <w:bottom w:val="none" w:sz="0" w:space="0" w:color="auto"/>
            <w:right w:val="none" w:sz="0" w:space="0" w:color="auto"/>
          </w:divBdr>
        </w:div>
      </w:divsChild>
    </w:div>
    <w:div w:id="770202888">
      <w:bodyDiv w:val="1"/>
      <w:marLeft w:val="0"/>
      <w:marRight w:val="0"/>
      <w:marTop w:val="0"/>
      <w:marBottom w:val="0"/>
      <w:divBdr>
        <w:top w:val="none" w:sz="0" w:space="0" w:color="auto"/>
        <w:left w:val="none" w:sz="0" w:space="0" w:color="auto"/>
        <w:bottom w:val="none" w:sz="0" w:space="0" w:color="auto"/>
        <w:right w:val="none" w:sz="0" w:space="0" w:color="auto"/>
      </w:divBdr>
      <w:divsChild>
        <w:div w:id="433287316">
          <w:marLeft w:val="-113"/>
          <w:marRight w:val="-113"/>
          <w:marTop w:val="0"/>
          <w:marBottom w:val="0"/>
          <w:divBdr>
            <w:top w:val="none" w:sz="0" w:space="0" w:color="auto"/>
            <w:left w:val="none" w:sz="0" w:space="0" w:color="auto"/>
            <w:bottom w:val="none" w:sz="0" w:space="0" w:color="auto"/>
            <w:right w:val="none" w:sz="0" w:space="0" w:color="auto"/>
          </w:divBdr>
        </w:div>
      </w:divsChild>
    </w:div>
    <w:div w:id="817260290">
      <w:bodyDiv w:val="1"/>
      <w:marLeft w:val="0"/>
      <w:marRight w:val="0"/>
      <w:marTop w:val="0"/>
      <w:marBottom w:val="0"/>
      <w:divBdr>
        <w:top w:val="none" w:sz="0" w:space="0" w:color="auto"/>
        <w:left w:val="none" w:sz="0" w:space="0" w:color="auto"/>
        <w:bottom w:val="none" w:sz="0" w:space="0" w:color="auto"/>
        <w:right w:val="none" w:sz="0" w:space="0" w:color="auto"/>
      </w:divBdr>
      <w:divsChild>
        <w:div w:id="1388383370">
          <w:marLeft w:val="-113"/>
          <w:marRight w:val="-113"/>
          <w:marTop w:val="0"/>
          <w:marBottom w:val="0"/>
          <w:divBdr>
            <w:top w:val="none" w:sz="0" w:space="0" w:color="auto"/>
            <w:left w:val="none" w:sz="0" w:space="0" w:color="auto"/>
            <w:bottom w:val="none" w:sz="0" w:space="0" w:color="auto"/>
            <w:right w:val="none" w:sz="0" w:space="0" w:color="auto"/>
          </w:divBdr>
        </w:div>
      </w:divsChild>
    </w:div>
    <w:div w:id="836651362">
      <w:bodyDiv w:val="1"/>
      <w:marLeft w:val="0"/>
      <w:marRight w:val="0"/>
      <w:marTop w:val="0"/>
      <w:marBottom w:val="0"/>
      <w:divBdr>
        <w:top w:val="none" w:sz="0" w:space="0" w:color="auto"/>
        <w:left w:val="none" w:sz="0" w:space="0" w:color="auto"/>
        <w:bottom w:val="none" w:sz="0" w:space="0" w:color="auto"/>
        <w:right w:val="none" w:sz="0" w:space="0" w:color="auto"/>
      </w:divBdr>
    </w:div>
    <w:div w:id="838081048">
      <w:bodyDiv w:val="1"/>
      <w:marLeft w:val="0"/>
      <w:marRight w:val="0"/>
      <w:marTop w:val="0"/>
      <w:marBottom w:val="0"/>
      <w:divBdr>
        <w:top w:val="none" w:sz="0" w:space="0" w:color="auto"/>
        <w:left w:val="none" w:sz="0" w:space="0" w:color="auto"/>
        <w:bottom w:val="none" w:sz="0" w:space="0" w:color="auto"/>
        <w:right w:val="none" w:sz="0" w:space="0" w:color="auto"/>
      </w:divBdr>
      <w:divsChild>
        <w:div w:id="1087848829">
          <w:marLeft w:val="-113"/>
          <w:marRight w:val="-113"/>
          <w:marTop w:val="0"/>
          <w:marBottom w:val="0"/>
          <w:divBdr>
            <w:top w:val="none" w:sz="0" w:space="0" w:color="auto"/>
            <w:left w:val="none" w:sz="0" w:space="0" w:color="auto"/>
            <w:bottom w:val="none" w:sz="0" w:space="0" w:color="auto"/>
            <w:right w:val="none" w:sz="0" w:space="0" w:color="auto"/>
          </w:divBdr>
        </w:div>
      </w:divsChild>
    </w:div>
    <w:div w:id="903030288">
      <w:bodyDiv w:val="1"/>
      <w:marLeft w:val="0"/>
      <w:marRight w:val="0"/>
      <w:marTop w:val="0"/>
      <w:marBottom w:val="0"/>
      <w:divBdr>
        <w:top w:val="none" w:sz="0" w:space="0" w:color="auto"/>
        <w:left w:val="none" w:sz="0" w:space="0" w:color="auto"/>
        <w:bottom w:val="none" w:sz="0" w:space="0" w:color="auto"/>
        <w:right w:val="none" w:sz="0" w:space="0" w:color="auto"/>
      </w:divBdr>
      <w:divsChild>
        <w:div w:id="701442361">
          <w:marLeft w:val="-113"/>
          <w:marRight w:val="-113"/>
          <w:marTop w:val="0"/>
          <w:marBottom w:val="0"/>
          <w:divBdr>
            <w:top w:val="none" w:sz="0" w:space="0" w:color="auto"/>
            <w:left w:val="none" w:sz="0" w:space="0" w:color="auto"/>
            <w:bottom w:val="none" w:sz="0" w:space="0" w:color="auto"/>
            <w:right w:val="none" w:sz="0" w:space="0" w:color="auto"/>
          </w:divBdr>
        </w:div>
      </w:divsChild>
    </w:div>
    <w:div w:id="910576003">
      <w:bodyDiv w:val="1"/>
      <w:marLeft w:val="0"/>
      <w:marRight w:val="0"/>
      <w:marTop w:val="0"/>
      <w:marBottom w:val="0"/>
      <w:divBdr>
        <w:top w:val="none" w:sz="0" w:space="0" w:color="auto"/>
        <w:left w:val="none" w:sz="0" w:space="0" w:color="auto"/>
        <w:bottom w:val="none" w:sz="0" w:space="0" w:color="auto"/>
        <w:right w:val="none" w:sz="0" w:space="0" w:color="auto"/>
      </w:divBdr>
      <w:divsChild>
        <w:div w:id="466632253">
          <w:marLeft w:val="-113"/>
          <w:marRight w:val="-113"/>
          <w:marTop w:val="0"/>
          <w:marBottom w:val="0"/>
          <w:divBdr>
            <w:top w:val="none" w:sz="0" w:space="0" w:color="auto"/>
            <w:left w:val="none" w:sz="0" w:space="0" w:color="auto"/>
            <w:bottom w:val="none" w:sz="0" w:space="0" w:color="auto"/>
            <w:right w:val="none" w:sz="0" w:space="0" w:color="auto"/>
          </w:divBdr>
        </w:div>
      </w:divsChild>
    </w:div>
    <w:div w:id="960769844">
      <w:bodyDiv w:val="1"/>
      <w:marLeft w:val="0"/>
      <w:marRight w:val="0"/>
      <w:marTop w:val="0"/>
      <w:marBottom w:val="0"/>
      <w:divBdr>
        <w:top w:val="none" w:sz="0" w:space="0" w:color="auto"/>
        <w:left w:val="none" w:sz="0" w:space="0" w:color="auto"/>
        <w:bottom w:val="none" w:sz="0" w:space="0" w:color="auto"/>
        <w:right w:val="none" w:sz="0" w:space="0" w:color="auto"/>
      </w:divBdr>
    </w:div>
    <w:div w:id="988823030">
      <w:bodyDiv w:val="1"/>
      <w:marLeft w:val="0"/>
      <w:marRight w:val="0"/>
      <w:marTop w:val="0"/>
      <w:marBottom w:val="0"/>
      <w:divBdr>
        <w:top w:val="none" w:sz="0" w:space="0" w:color="auto"/>
        <w:left w:val="none" w:sz="0" w:space="0" w:color="auto"/>
        <w:bottom w:val="none" w:sz="0" w:space="0" w:color="auto"/>
        <w:right w:val="none" w:sz="0" w:space="0" w:color="auto"/>
      </w:divBdr>
      <w:divsChild>
        <w:div w:id="471135">
          <w:marLeft w:val="-113"/>
          <w:marRight w:val="-113"/>
          <w:marTop w:val="0"/>
          <w:marBottom w:val="0"/>
          <w:divBdr>
            <w:top w:val="none" w:sz="0" w:space="0" w:color="auto"/>
            <w:left w:val="none" w:sz="0" w:space="0" w:color="auto"/>
            <w:bottom w:val="none" w:sz="0" w:space="0" w:color="auto"/>
            <w:right w:val="none" w:sz="0" w:space="0" w:color="auto"/>
          </w:divBdr>
        </w:div>
      </w:divsChild>
    </w:div>
    <w:div w:id="1056968972">
      <w:bodyDiv w:val="1"/>
      <w:marLeft w:val="0"/>
      <w:marRight w:val="0"/>
      <w:marTop w:val="0"/>
      <w:marBottom w:val="0"/>
      <w:divBdr>
        <w:top w:val="none" w:sz="0" w:space="0" w:color="auto"/>
        <w:left w:val="none" w:sz="0" w:space="0" w:color="auto"/>
        <w:bottom w:val="none" w:sz="0" w:space="0" w:color="auto"/>
        <w:right w:val="none" w:sz="0" w:space="0" w:color="auto"/>
      </w:divBdr>
      <w:divsChild>
        <w:div w:id="687413212">
          <w:marLeft w:val="-113"/>
          <w:marRight w:val="-113"/>
          <w:marTop w:val="0"/>
          <w:marBottom w:val="0"/>
          <w:divBdr>
            <w:top w:val="none" w:sz="0" w:space="0" w:color="auto"/>
            <w:left w:val="none" w:sz="0" w:space="0" w:color="auto"/>
            <w:bottom w:val="none" w:sz="0" w:space="0" w:color="auto"/>
            <w:right w:val="none" w:sz="0" w:space="0" w:color="auto"/>
          </w:divBdr>
        </w:div>
      </w:divsChild>
    </w:div>
    <w:div w:id="1215049104">
      <w:bodyDiv w:val="1"/>
      <w:marLeft w:val="0"/>
      <w:marRight w:val="0"/>
      <w:marTop w:val="0"/>
      <w:marBottom w:val="0"/>
      <w:divBdr>
        <w:top w:val="none" w:sz="0" w:space="0" w:color="auto"/>
        <w:left w:val="none" w:sz="0" w:space="0" w:color="auto"/>
        <w:bottom w:val="none" w:sz="0" w:space="0" w:color="auto"/>
        <w:right w:val="none" w:sz="0" w:space="0" w:color="auto"/>
      </w:divBdr>
      <w:divsChild>
        <w:div w:id="106122940">
          <w:marLeft w:val="-113"/>
          <w:marRight w:val="-113"/>
          <w:marTop w:val="0"/>
          <w:marBottom w:val="0"/>
          <w:divBdr>
            <w:top w:val="none" w:sz="0" w:space="0" w:color="auto"/>
            <w:left w:val="none" w:sz="0" w:space="0" w:color="auto"/>
            <w:bottom w:val="none" w:sz="0" w:space="0" w:color="auto"/>
            <w:right w:val="none" w:sz="0" w:space="0" w:color="auto"/>
          </w:divBdr>
        </w:div>
      </w:divsChild>
    </w:div>
    <w:div w:id="1254776762">
      <w:bodyDiv w:val="1"/>
      <w:marLeft w:val="0"/>
      <w:marRight w:val="0"/>
      <w:marTop w:val="0"/>
      <w:marBottom w:val="0"/>
      <w:divBdr>
        <w:top w:val="none" w:sz="0" w:space="0" w:color="auto"/>
        <w:left w:val="none" w:sz="0" w:space="0" w:color="auto"/>
        <w:bottom w:val="none" w:sz="0" w:space="0" w:color="auto"/>
        <w:right w:val="none" w:sz="0" w:space="0" w:color="auto"/>
      </w:divBdr>
      <w:divsChild>
        <w:div w:id="339964017">
          <w:marLeft w:val="-113"/>
          <w:marRight w:val="-113"/>
          <w:marTop w:val="0"/>
          <w:marBottom w:val="0"/>
          <w:divBdr>
            <w:top w:val="none" w:sz="0" w:space="0" w:color="auto"/>
            <w:left w:val="none" w:sz="0" w:space="0" w:color="auto"/>
            <w:bottom w:val="none" w:sz="0" w:space="0" w:color="auto"/>
            <w:right w:val="none" w:sz="0" w:space="0" w:color="auto"/>
          </w:divBdr>
        </w:div>
      </w:divsChild>
    </w:div>
    <w:div w:id="1286078715">
      <w:bodyDiv w:val="1"/>
      <w:marLeft w:val="0"/>
      <w:marRight w:val="0"/>
      <w:marTop w:val="0"/>
      <w:marBottom w:val="0"/>
      <w:divBdr>
        <w:top w:val="none" w:sz="0" w:space="0" w:color="auto"/>
        <w:left w:val="none" w:sz="0" w:space="0" w:color="auto"/>
        <w:bottom w:val="none" w:sz="0" w:space="0" w:color="auto"/>
        <w:right w:val="none" w:sz="0" w:space="0" w:color="auto"/>
      </w:divBdr>
      <w:divsChild>
        <w:div w:id="464853315">
          <w:marLeft w:val="-113"/>
          <w:marRight w:val="-113"/>
          <w:marTop w:val="0"/>
          <w:marBottom w:val="0"/>
          <w:divBdr>
            <w:top w:val="none" w:sz="0" w:space="0" w:color="auto"/>
            <w:left w:val="none" w:sz="0" w:space="0" w:color="auto"/>
            <w:bottom w:val="none" w:sz="0" w:space="0" w:color="auto"/>
            <w:right w:val="none" w:sz="0" w:space="0" w:color="auto"/>
          </w:divBdr>
        </w:div>
      </w:divsChild>
    </w:div>
    <w:div w:id="1398166653">
      <w:bodyDiv w:val="1"/>
      <w:marLeft w:val="0"/>
      <w:marRight w:val="0"/>
      <w:marTop w:val="0"/>
      <w:marBottom w:val="0"/>
      <w:divBdr>
        <w:top w:val="none" w:sz="0" w:space="0" w:color="auto"/>
        <w:left w:val="none" w:sz="0" w:space="0" w:color="auto"/>
        <w:bottom w:val="none" w:sz="0" w:space="0" w:color="auto"/>
        <w:right w:val="none" w:sz="0" w:space="0" w:color="auto"/>
      </w:divBdr>
      <w:divsChild>
        <w:div w:id="298607032">
          <w:marLeft w:val="-113"/>
          <w:marRight w:val="-113"/>
          <w:marTop w:val="0"/>
          <w:marBottom w:val="0"/>
          <w:divBdr>
            <w:top w:val="none" w:sz="0" w:space="0" w:color="auto"/>
            <w:left w:val="none" w:sz="0" w:space="0" w:color="auto"/>
            <w:bottom w:val="none" w:sz="0" w:space="0" w:color="auto"/>
            <w:right w:val="none" w:sz="0" w:space="0" w:color="auto"/>
          </w:divBdr>
        </w:div>
      </w:divsChild>
    </w:div>
    <w:div w:id="1525904478">
      <w:bodyDiv w:val="1"/>
      <w:marLeft w:val="0"/>
      <w:marRight w:val="0"/>
      <w:marTop w:val="0"/>
      <w:marBottom w:val="0"/>
      <w:divBdr>
        <w:top w:val="none" w:sz="0" w:space="0" w:color="auto"/>
        <w:left w:val="none" w:sz="0" w:space="0" w:color="auto"/>
        <w:bottom w:val="none" w:sz="0" w:space="0" w:color="auto"/>
        <w:right w:val="none" w:sz="0" w:space="0" w:color="auto"/>
      </w:divBdr>
    </w:div>
    <w:div w:id="1568957938">
      <w:bodyDiv w:val="1"/>
      <w:marLeft w:val="0"/>
      <w:marRight w:val="0"/>
      <w:marTop w:val="0"/>
      <w:marBottom w:val="0"/>
      <w:divBdr>
        <w:top w:val="none" w:sz="0" w:space="0" w:color="auto"/>
        <w:left w:val="none" w:sz="0" w:space="0" w:color="auto"/>
        <w:bottom w:val="none" w:sz="0" w:space="0" w:color="auto"/>
        <w:right w:val="none" w:sz="0" w:space="0" w:color="auto"/>
      </w:divBdr>
    </w:div>
    <w:div w:id="1585529581">
      <w:bodyDiv w:val="1"/>
      <w:marLeft w:val="0"/>
      <w:marRight w:val="0"/>
      <w:marTop w:val="0"/>
      <w:marBottom w:val="0"/>
      <w:divBdr>
        <w:top w:val="none" w:sz="0" w:space="0" w:color="auto"/>
        <w:left w:val="none" w:sz="0" w:space="0" w:color="auto"/>
        <w:bottom w:val="none" w:sz="0" w:space="0" w:color="auto"/>
        <w:right w:val="none" w:sz="0" w:space="0" w:color="auto"/>
      </w:divBdr>
    </w:div>
    <w:div w:id="1656369749">
      <w:bodyDiv w:val="1"/>
      <w:marLeft w:val="0"/>
      <w:marRight w:val="0"/>
      <w:marTop w:val="0"/>
      <w:marBottom w:val="0"/>
      <w:divBdr>
        <w:top w:val="none" w:sz="0" w:space="0" w:color="auto"/>
        <w:left w:val="none" w:sz="0" w:space="0" w:color="auto"/>
        <w:bottom w:val="none" w:sz="0" w:space="0" w:color="auto"/>
        <w:right w:val="none" w:sz="0" w:space="0" w:color="auto"/>
      </w:divBdr>
      <w:divsChild>
        <w:div w:id="628438218">
          <w:marLeft w:val="-113"/>
          <w:marRight w:val="-113"/>
          <w:marTop w:val="0"/>
          <w:marBottom w:val="0"/>
          <w:divBdr>
            <w:top w:val="none" w:sz="0" w:space="0" w:color="auto"/>
            <w:left w:val="none" w:sz="0" w:space="0" w:color="auto"/>
            <w:bottom w:val="none" w:sz="0" w:space="0" w:color="auto"/>
            <w:right w:val="none" w:sz="0" w:space="0" w:color="auto"/>
          </w:divBdr>
        </w:div>
      </w:divsChild>
    </w:div>
    <w:div w:id="1668553184">
      <w:bodyDiv w:val="1"/>
      <w:marLeft w:val="0"/>
      <w:marRight w:val="0"/>
      <w:marTop w:val="0"/>
      <w:marBottom w:val="0"/>
      <w:divBdr>
        <w:top w:val="none" w:sz="0" w:space="0" w:color="auto"/>
        <w:left w:val="none" w:sz="0" w:space="0" w:color="auto"/>
        <w:bottom w:val="none" w:sz="0" w:space="0" w:color="auto"/>
        <w:right w:val="none" w:sz="0" w:space="0" w:color="auto"/>
      </w:divBdr>
    </w:div>
    <w:div w:id="1671368408">
      <w:bodyDiv w:val="1"/>
      <w:marLeft w:val="0"/>
      <w:marRight w:val="0"/>
      <w:marTop w:val="0"/>
      <w:marBottom w:val="0"/>
      <w:divBdr>
        <w:top w:val="none" w:sz="0" w:space="0" w:color="auto"/>
        <w:left w:val="none" w:sz="0" w:space="0" w:color="auto"/>
        <w:bottom w:val="none" w:sz="0" w:space="0" w:color="auto"/>
        <w:right w:val="none" w:sz="0" w:space="0" w:color="auto"/>
      </w:divBdr>
    </w:div>
    <w:div w:id="1674532116">
      <w:bodyDiv w:val="1"/>
      <w:marLeft w:val="0"/>
      <w:marRight w:val="0"/>
      <w:marTop w:val="0"/>
      <w:marBottom w:val="0"/>
      <w:divBdr>
        <w:top w:val="none" w:sz="0" w:space="0" w:color="auto"/>
        <w:left w:val="none" w:sz="0" w:space="0" w:color="auto"/>
        <w:bottom w:val="none" w:sz="0" w:space="0" w:color="auto"/>
        <w:right w:val="none" w:sz="0" w:space="0" w:color="auto"/>
      </w:divBdr>
      <w:divsChild>
        <w:div w:id="174271496">
          <w:marLeft w:val="-113"/>
          <w:marRight w:val="-113"/>
          <w:marTop w:val="0"/>
          <w:marBottom w:val="0"/>
          <w:divBdr>
            <w:top w:val="none" w:sz="0" w:space="0" w:color="auto"/>
            <w:left w:val="none" w:sz="0" w:space="0" w:color="auto"/>
            <w:bottom w:val="none" w:sz="0" w:space="0" w:color="auto"/>
            <w:right w:val="none" w:sz="0" w:space="0" w:color="auto"/>
          </w:divBdr>
        </w:div>
      </w:divsChild>
    </w:div>
    <w:div w:id="1722174430">
      <w:bodyDiv w:val="1"/>
      <w:marLeft w:val="0"/>
      <w:marRight w:val="0"/>
      <w:marTop w:val="0"/>
      <w:marBottom w:val="0"/>
      <w:divBdr>
        <w:top w:val="none" w:sz="0" w:space="0" w:color="auto"/>
        <w:left w:val="none" w:sz="0" w:space="0" w:color="auto"/>
        <w:bottom w:val="none" w:sz="0" w:space="0" w:color="auto"/>
        <w:right w:val="none" w:sz="0" w:space="0" w:color="auto"/>
      </w:divBdr>
    </w:div>
    <w:div w:id="1723022059">
      <w:bodyDiv w:val="1"/>
      <w:marLeft w:val="0"/>
      <w:marRight w:val="0"/>
      <w:marTop w:val="0"/>
      <w:marBottom w:val="0"/>
      <w:divBdr>
        <w:top w:val="none" w:sz="0" w:space="0" w:color="auto"/>
        <w:left w:val="none" w:sz="0" w:space="0" w:color="auto"/>
        <w:bottom w:val="none" w:sz="0" w:space="0" w:color="auto"/>
        <w:right w:val="none" w:sz="0" w:space="0" w:color="auto"/>
      </w:divBdr>
    </w:div>
    <w:div w:id="1737163632">
      <w:bodyDiv w:val="1"/>
      <w:marLeft w:val="0"/>
      <w:marRight w:val="0"/>
      <w:marTop w:val="0"/>
      <w:marBottom w:val="0"/>
      <w:divBdr>
        <w:top w:val="none" w:sz="0" w:space="0" w:color="auto"/>
        <w:left w:val="none" w:sz="0" w:space="0" w:color="auto"/>
        <w:bottom w:val="none" w:sz="0" w:space="0" w:color="auto"/>
        <w:right w:val="none" w:sz="0" w:space="0" w:color="auto"/>
      </w:divBdr>
      <w:divsChild>
        <w:div w:id="1253122603">
          <w:marLeft w:val="-113"/>
          <w:marRight w:val="-113"/>
          <w:marTop w:val="0"/>
          <w:marBottom w:val="0"/>
          <w:divBdr>
            <w:top w:val="none" w:sz="0" w:space="0" w:color="auto"/>
            <w:left w:val="none" w:sz="0" w:space="0" w:color="auto"/>
            <w:bottom w:val="none" w:sz="0" w:space="0" w:color="auto"/>
            <w:right w:val="none" w:sz="0" w:space="0" w:color="auto"/>
          </w:divBdr>
        </w:div>
      </w:divsChild>
    </w:div>
    <w:div w:id="1742751738">
      <w:bodyDiv w:val="1"/>
      <w:marLeft w:val="0"/>
      <w:marRight w:val="0"/>
      <w:marTop w:val="0"/>
      <w:marBottom w:val="0"/>
      <w:divBdr>
        <w:top w:val="none" w:sz="0" w:space="0" w:color="auto"/>
        <w:left w:val="none" w:sz="0" w:space="0" w:color="auto"/>
        <w:bottom w:val="none" w:sz="0" w:space="0" w:color="auto"/>
        <w:right w:val="none" w:sz="0" w:space="0" w:color="auto"/>
      </w:divBdr>
    </w:div>
    <w:div w:id="1753231636">
      <w:bodyDiv w:val="1"/>
      <w:marLeft w:val="0"/>
      <w:marRight w:val="0"/>
      <w:marTop w:val="0"/>
      <w:marBottom w:val="0"/>
      <w:divBdr>
        <w:top w:val="none" w:sz="0" w:space="0" w:color="auto"/>
        <w:left w:val="none" w:sz="0" w:space="0" w:color="auto"/>
        <w:bottom w:val="none" w:sz="0" w:space="0" w:color="auto"/>
        <w:right w:val="none" w:sz="0" w:space="0" w:color="auto"/>
      </w:divBdr>
    </w:div>
    <w:div w:id="1769043001">
      <w:bodyDiv w:val="1"/>
      <w:marLeft w:val="0"/>
      <w:marRight w:val="0"/>
      <w:marTop w:val="0"/>
      <w:marBottom w:val="0"/>
      <w:divBdr>
        <w:top w:val="none" w:sz="0" w:space="0" w:color="auto"/>
        <w:left w:val="none" w:sz="0" w:space="0" w:color="auto"/>
        <w:bottom w:val="none" w:sz="0" w:space="0" w:color="auto"/>
        <w:right w:val="none" w:sz="0" w:space="0" w:color="auto"/>
      </w:divBdr>
      <w:divsChild>
        <w:div w:id="586158416">
          <w:marLeft w:val="-113"/>
          <w:marRight w:val="-113"/>
          <w:marTop w:val="0"/>
          <w:marBottom w:val="0"/>
          <w:divBdr>
            <w:top w:val="none" w:sz="0" w:space="0" w:color="auto"/>
            <w:left w:val="none" w:sz="0" w:space="0" w:color="auto"/>
            <w:bottom w:val="none" w:sz="0" w:space="0" w:color="auto"/>
            <w:right w:val="none" w:sz="0" w:space="0" w:color="auto"/>
          </w:divBdr>
        </w:div>
      </w:divsChild>
    </w:div>
    <w:div w:id="1789622462">
      <w:bodyDiv w:val="1"/>
      <w:marLeft w:val="0"/>
      <w:marRight w:val="0"/>
      <w:marTop w:val="0"/>
      <w:marBottom w:val="0"/>
      <w:divBdr>
        <w:top w:val="none" w:sz="0" w:space="0" w:color="auto"/>
        <w:left w:val="none" w:sz="0" w:space="0" w:color="auto"/>
        <w:bottom w:val="none" w:sz="0" w:space="0" w:color="auto"/>
        <w:right w:val="none" w:sz="0" w:space="0" w:color="auto"/>
      </w:divBdr>
      <w:divsChild>
        <w:div w:id="454102668">
          <w:marLeft w:val="-113"/>
          <w:marRight w:val="-113"/>
          <w:marTop w:val="0"/>
          <w:marBottom w:val="0"/>
          <w:divBdr>
            <w:top w:val="none" w:sz="0" w:space="0" w:color="auto"/>
            <w:left w:val="none" w:sz="0" w:space="0" w:color="auto"/>
            <w:bottom w:val="none" w:sz="0" w:space="0" w:color="auto"/>
            <w:right w:val="none" w:sz="0" w:space="0" w:color="auto"/>
          </w:divBdr>
        </w:div>
      </w:divsChild>
    </w:div>
    <w:div w:id="1881016271">
      <w:bodyDiv w:val="1"/>
      <w:marLeft w:val="0"/>
      <w:marRight w:val="0"/>
      <w:marTop w:val="0"/>
      <w:marBottom w:val="0"/>
      <w:divBdr>
        <w:top w:val="none" w:sz="0" w:space="0" w:color="auto"/>
        <w:left w:val="none" w:sz="0" w:space="0" w:color="auto"/>
        <w:bottom w:val="none" w:sz="0" w:space="0" w:color="auto"/>
        <w:right w:val="none" w:sz="0" w:space="0" w:color="auto"/>
      </w:divBdr>
      <w:divsChild>
        <w:div w:id="1617181253">
          <w:marLeft w:val="-113"/>
          <w:marRight w:val="-113"/>
          <w:marTop w:val="0"/>
          <w:marBottom w:val="0"/>
          <w:divBdr>
            <w:top w:val="none" w:sz="0" w:space="0" w:color="auto"/>
            <w:left w:val="none" w:sz="0" w:space="0" w:color="auto"/>
            <w:bottom w:val="none" w:sz="0" w:space="0" w:color="auto"/>
            <w:right w:val="none" w:sz="0" w:space="0" w:color="auto"/>
          </w:divBdr>
        </w:div>
      </w:divsChild>
    </w:div>
    <w:div w:id="1975134135">
      <w:bodyDiv w:val="1"/>
      <w:marLeft w:val="0"/>
      <w:marRight w:val="0"/>
      <w:marTop w:val="0"/>
      <w:marBottom w:val="0"/>
      <w:divBdr>
        <w:top w:val="none" w:sz="0" w:space="0" w:color="auto"/>
        <w:left w:val="none" w:sz="0" w:space="0" w:color="auto"/>
        <w:bottom w:val="none" w:sz="0" w:space="0" w:color="auto"/>
        <w:right w:val="none" w:sz="0" w:space="0" w:color="auto"/>
      </w:divBdr>
      <w:divsChild>
        <w:div w:id="842165310">
          <w:marLeft w:val="-113"/>
          <w:marRight w:val="-113"/>
          <w:marTop w:val="0"/>
          <w:marBottom w:val="0"/>
          <w:divBdr>
            <w:top w:val="none" w:sz="0" w:space="0" w:color="auto"/>
            <w:left w:val="none" w:sz="0" w:space="0" w:color="auto"/>
            <w:bottom w:val="none" w:sz="0" w:space="0" w:color="auto"/>
            <w:right w:val="none" w:sz="0" w:space="0" w:color="auto"/>
          </w:divBdr>
        </w:div>
      </w:divsChild>
    </w:div>
    <w:div w:id="2004162723">
      <w:bodyDiv w:val="1"/>
      <w:marLeft w:val="0"/>
      <w:marRight w:val="0"/>
      <w:marTop w:val="0"/>
      <w:marBottom w:val="0"/>
      <w:divBdr>
        <w:top w:val="none" w:sz="0" w:space="0" w:color="auto"/>
        <w:left w:val="none" w:sz="0" w:space="0" w:color="auto"/>
        <w:bottom w:val="none" w:sz="0" w:space="0" w:color="auto"/>
        <w:right w:val="none" w:sz="0" w:space="0" w:color="auto"/>
      </w:divBdr>
      <w:divsChild>
        <w:div w:id="919021049">
          <w:marLeft w:val="-113"/>
          <w:marRight w:val="-113"/>
          <w:marTop w:val="0"/>
          <w:marBottom w:val="0"/>
          <w:divBdr>
            <w:top w:val="none" w:sz="0" w:space="0" w:color="auto"/>
            <w:left w:val="none" w:sz="0" w:space="0" w:color="auto"/>
            <w:bottom w:val="none" w:sz="0" w:space="0" w:color="auto"/>
            <w:right w:val="none" w:sz="0" w:space="0" w:color="auto"/>
          </w:divBdr>
        </w:div>
      </w:divsChild>
    </w:div>
    <w:div w:id="2010255341">
      <w:bodyDiv w:val="1"/>
      <w:marLeft w:val="0"/>
      <w:marRight w:val="0"/>
      <w:marTop w:val="0"/>
      <w:marBottom w:val="0"/>
      <w:divBdr>
        <w:top w:val="none" w:sz="0" w:space="0" w:color="auto"/>
        <w:left w:val="none" w:sz="0" w:space="0" w:color="auto"/>
        <w:bottom w:val="none" w:sz="0" w:space="0" w:color="auto"/>
        <w:right w:val="none" w:sz="0" w:space="0" w:color="auto"/>
      </w:divBdr>
      <w:divsChild>
        <w:div w:id="1878663925">
          <w:marLeft w:val="-113"/>
          <w:marRight w:val="-113"/>
          <w:marTop w:val="0"/>
          <w:marBottom w:val="0"/>
          <w:divBdr>
            <w:top w:val="none" w:sz="0" w:space="0" w:color="auto"/>
            <w:left w:val="none" w:sz="0" w:space="0" w:color="auto"/>
            <w:bottom w:val="none" w:sz="0" w:space="0" w:color="auto"/>
            <w:right w:val="none" w:sz="0" w:space="0" w:color="auto"/>
          </w:divBdr>
        </w:div>
      </w:divsChild>
    </w:div>
    <w:div w:id="2085836699">
      <w:bodyDiv w:val="1"/>
      <w:marLeft w:val="0"/>
      <w:marRight w:val="0"/>
      <w:marTop w:val="0"/>
      <w:marBottom w:val="0"/>
      <w:divBdr>
        <w:top w:val="none" w:sz="0" w:space="0" w:color="auto"/>
        <w:left w:val="none" w:sz="0" w:space="0" w:color="auto"/>
        <w:bottom w:val="none" w:sz="0" w:space="0" w:color="auto"/>
        <w:right w:val="none" w:sz="0" w:space="0" w:color="auto"/>
      </w:divBdr>
      <w:divsChild>
        <w:div w:id="348917468">
          <w:marLeft w:val="-113"/>
          <w:marRight w:val="-113"/>
          <w:marTop w:val="0"/>
          <w:marBottom w:val="0"/>
          <w:divBdr>
            <w:top w:val="none" w:sz="0" w:space="0" w:color="auto"/>
            <w:left w:val="none" w:sz="0" w:space="0" w:color="auto"/>
            <w:bottom w:val="none" w:sz="0" w:space="0" w:color="auto"/>
            <w:right w:val="none" w:sz="0" w:space="0" w:color="auto"/>
          </w:divBdr>
        </w:div>
      </w:divsChild>
    </w:div>
    <w:div w:id="2100564224">
      <w:bodyDiv w:val="1"/>
      <w:marLeft w:val="0"/>
      <w:marRight w:val="0"/>
      <w:marTop w:val="0"/>
      <w:marBottom w:val="0"/>
      <w:divBdr>
        <w:top w:val="none" w:sz="0" w:space="0" w:color="auto"/>
        <w:left w:val="none" w:sz="0" w:space="0" w:color="auto"/>
        <w:bottom w:val="none" w:sz="0" w:space="0" w:color="auto"/>
        <w:right w:val="none" w:sz="0" w:space="0" w:color="auto"/>
      </w:divBdr>
    </w:div>
    <w:div w:id="2144032992">
      <w:bodyDiv w:val="1"/>
      <w:marLeft w:val="0"/>
      <w:marRight w:val="0"/>
      <w:marTop w:val="0"/>
      <w:marBottom w:val="0"/>
      <w:divBdr>
        <w:top w:val="none" w:sz="0" w:space="0" w:color="auto"/>
        <w:left w:val="none" w:sz="0" w:space="0" w:color="auto"/>
        <w:bottom w:val="none" w:sz="0" w:space="0" w:color="auto"/>
        <w:right w:val="none" w:sz="0" w:space="0" w:color="auto"/>
      </w:divBdr>
      <w:divsChild>
        <w:div w:id="428962467">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PVM</dc:creator>
  <cp:keywords/>
  <dc:description/>
  <cp:lastModifiedBy>HP</cp:lastModifiedBy>
  <cp:revision>17</cp:revision>
  <cp:lastPrinted>2024-11-25T06:59:00Z</cp:lastPrinted>
  <dcterms:created xsi:type="dcterms:W3CDTF">2024-06-26T09:17:00Z</dcterms:created>
  <dcterms:modified xsi:type="dcterms:W3CDTF">2024-11-26T10:43:00Z</dcterms:modified>
</cp:coreProperties>
</file>