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F1B53" w14:textId="2A68139D" w:rsidR="00612EAA" w:rsidRPr="00612EAA" w:rsidRDefault="00663071" w:rsidP="00663071">
      <w:pPr>
        <w:jc w:val="right"/>
        <w:rPr>
          <w:rFonts w:asciiTheme="majorBidi" w:hAnsiTheme="majorBidi" w:cstheme="majorBidi"/>
          <w:lang w:val="en-GB"/>
        </w:rPr>
      </w:pPr>
      <w:r>
        <w:rPr>
          <w:rFonts w:asciiTheme="majorBidi" w:hAnsiTheme="majorBidi" w:cstheme="majorBidi"/>
          <w:lang w:val="en-GB"/>
        </w:rPr>
        <w:t xml:space="preserve">Doc No.: </w:t>
      </w:r>
      <w:r w:rsidRPr="00663071">
        <w:rPr>
          <w:rFonts w:asciiTheme="majorBidi" w:hAnsiTheme="majorBidi" w:cstheme="majorBidi"/>
        </w:rPr>
        <w:t>TXD 32 (26574)</w:t>
      </w:r>
    </w:p>
    <w:p w14:paraId="03380B22" w14:textId="406D706F" w:rsidR="00612EAA" w:rsidRPr="00612EAA" w:rsidRDefault="00612EAA" w:rsidP="00612EAA">
      <w:pPr>
        <w:rPr>
          <w:rFonts w:asciiTheme="majorBidi" w:hAnsiTheme="majorBidi" w:cstheme="majorBidi"/>
          <w:lang w:val="en-GB"/>
        </w:rPr>
      </w:pPr>
      <w:r w:rsidRPr="00612EAA">
        <w:rPr>
          <w:rFonts w:asciiTheme="majorBidi" w:hAnsiTheme="majorBidi" w:cstheme="majorBidi"/>
          <w:lang w:val="en-GB"/>
        </w:rPr>
        <w:t xml:space="preserve"> </w:t>
      </w:r>
    </w:p>
    <w:p w14:paraId="180FD1E0" w14:textId="3941F1E0" w:rsidR="00612EAA" w:rsidRPr="00612EAA" w:rsidRDefault="00612EAA" w:rsidP="00612EAA">
      <w:pPr>
        <w:jc w:val="center"/>
        <w:rPr>
          <w:rFonts w:asciiTheme="majorBidi" w:hAnsiTheme="majorBidi" w:cstheme="majorBidi"/>
          <w:b/>
          <w:bCs/>
          <w:lang w:val="en-GB"/>
        </w:rPr>
      </w:pPr>
      <w:r w:rsidRPr="00612EAA">
        <w:rPr>
          <w:rFonts w:asciiTheme="majorBidi" w:hAnsiTheme="majorBidi" w:cstheme="majorBidi"/>
          <w:b/>
          <w:bCs/>
          <w:lang w:val="en-GB"/>
        </w:rPr>
        <w:t>AMENDMENT NO. 3 SEPTEMBER 2024</w:t>
      </w:r>
    </w:p>
    <w:p w14:paraId="31F32C89" w14:textId="47A88F1A" w:rsidR="00612EAA" w:rsidRPr="00612EAA" w:rsidRDefault="00612EAA" w:rsidP="00612EAA">
      <w:pPr>
        <w:jc w:val="center"/>
        <w:rPr>
          <w:rFonts w:asciiTheme="majorBidi" w:hAnsiTheme="majorBidi" w:cstheme="majorBidi"/>
          <w:b/>
          <w:bCs/>
          <w:lang w:val="en-GB"/>
        </w:rPr>
      </w:pPr>
      <w:r w:rsidRPr="00612EAA">
        <w:rPr>
          <w:rFonts w:asciiTheme="majorBidi" w:hAnsiTheme="majorBidi" w:cstheme="majorBidi"/>
          <w:b/>
          <w:bCs/>
          <w:lang w:val="en-GB"/>
        </w:rPr>
        <w:t>TO</w:t>
      </w:r>
    </w:p>
    <w:p w14:paraId="59004A0D" w14:textId="2886AB8B" w:rsidR="00612EAA" w:rsidRPr="00612EAA" w:rsidRDefault="00612EAA" w:rsidP="00612EAA">
      <w:pPr>
        <w:jc w:val="center"/>
        <w:rPr>
          <w:rFonts w:asciiTheme="majorBidi" w:hAnsiTheme="majorBidi" w:cstheme="majorBidi"/>
          <w:b/>
          <w:bCs/>
          <w:lang w:val="en-GB"/>
        </w:rPr>
      </w:pPr>
      <w:r w:rsidRPr="00612EAA">
        <w:rPr>
          <w:rFonts w:asciiTheme="majorBidi" w:hAnsiTheme="majorBidi" w:cstheme="majorBidi"/>
          <w:b/>
          <w:bCs/>
          <w:lang w:val="en-GB"/>
        </w:rPr>
        <w:t xml:space="preserve">IS </w:t>
      </w:r>
      <w:proofErr w:type="gramStart"/>
      <w:r w:rsidRPr="00612EAA">
        <w:rPr>
          <w:rFonts w:asciiTheme="majorBidi" w:hAnsiTheme="majorBidi" w:cstheme="majorBidi"/>
          <w:b/>
          <w:bCs/>
          <w:lang w:val="en-GB"/>
        </w:rPr>
        <w:t>15748 :</w:t>
      </w:r>
      <w:proofErr w:type="gramEnd"/>
      <w:r w:rsidRPr="00612EAA">
        <w:rPr>
          <w:rFonts w:asciiTheme="majorBidi" w:hAnsiTheme="majorBidi" w:cstheme="majorBidi"/>
          <w:b/>
          <w:bCs/>
          <w:lang w:val="en-GB"/>
        </w:rPr>
        <w:t xml:space="preserve"> 2022/ISO 11612 : 2015 PROTECTIVE CLOTHING — CLOTHING TO PROTECT AGAINST HEAT AND FLAME — MINIMUM PERFORMANCE REQUIREMENTS</w:t>
      </w:r>
    </w:p>
    <w:p w14:paraId="599E65FD" w14:textId="207C4543" w:rsidR="00612EAA" w:rsidRDefault="00612EAA" w:rsidP="00612EAA">
      <w:pPr>
        <w:jc w:val="center"/>
        <w:rPr>
          <w:rFonts w:asciiTheme="majorBidi" w:hAnsiTheme="majorBidi" w:cstheme="majorBidi"/>
        </w:rPr>
      </w:pPr>
      <w:proofErr w:type="gramStart"/>
      <w:r w:rsidRPr="00612EAA">
        <w:rPr>
          <w:rFonts w:asciiTheme="majorBidi" w:hAnsiTheme="majorBidi" w:cstheme="majorBidi"/>
          <w:i/>
          <w:iCs/>
          <w:lang w:val="en-GB"/>
        </w:rPr>
        <w:t>( First</w:t>
      </w:r>
      <w:proofErr w:type="gramEnd"/>
      <w:r w:rsidRPr="00612EAA">
        <w:rPr>
          <w:rFonts w:asciiTheme="majorBidi" w:hAnsiTheme="majorBidi" w:cstheme="majorBidi"/>
          <w:i/>
          <w:iCs/>
          <w:lang w:val="en-GB"/>
        </w:rPr>
        <w:t xml:space="preserve"> Revision )</w:t>
      </w:r>
    </w:p>
    <w:p w14:paraId="139D2FEB" w14:textId="2330C181" w:rsidR="00612EAA" w:rsidRDefault="00612EAA" w:rsidP="00612EAA">
      <w:pPr>
        <w:rPr>
          <w:rFonts w:asciiTheme="majorBidi" w:hAnsiTheme="majorBidi" w:cstheme="majorBidi"/>
        </w:rPr>
      </w:pPr>
      <w:r>
        <w:rPr>
          <w:rFonts w:asciiTheme="majorBidi" w:hAnsiTheme="majorBidi" w:cstheme="majorBidi"/>
        </w:rPr>
        <w:t>___________________________________________________________________________</w:t>
      </w:r>
    </w:p>
    <w:p w14:paraId="0EF44E9C" w14:textId="77777777" w:rsidR="00612EAA" w:rsidRDefault="00612EAA" w:rsidP="00612EAA">
      <w:pPr>
        <w:rPr>
          <w:rFonts w:asciiTheme="majorBidi" w:hAnsiTheme="majorBidi" w:cstheme="majorBidi"/>
        </w:rPr>
      </w:pPr>
    </w:p>
    <w:p w14:paraId="1DD05433" w14:textId="5A79D52F" w:rsidR="00612EAA" w:rsidRDefault="00612EAA" w:rsidP="00612EAA">
      <w:pPr>
        <w:rPr>
          <w:rFonts w:asciiTheme="majorBidi" w:hAnsiTheme="majorBidi" w:cstheme="majorBidi"/>
        </w:rPr>
      </w:pPr>
      <w:r>
        <w:rPr>
          <w:rFonts w:asciiTheme="majorBidi" w:hAnsiTheme="majorBidi" w:cstheme="majorBidi"/>
        </w:rPr>
        <w:t>[</w:t>
      </w:r>
      <w:r>
        <w:rPr>
          <w:rFonts w:asciiTheme="majorBidi" w:hAnsiTheme="majorBidi" w:cstheme="majorBidi"/>
          <w:i/>
          <w:iCs/>
        </w:rPr>
        <w:t xml:space="preserve">National Foreword, </w:t>
      </w:r>
      <w:proofErr w:type="gramStart"/>
      <w:r>
        <w:rPr>
          <w:rFonts w:asciiTheme="majorBidi" w:hAnsiTheme="majorBidi" w:cstheme="majorBidi"/>
          <w:i/>
          <w:iCs/>
        </w:rPr>
        <w:t>Third</w:t>
      </w:r>
      <w:proofErr w:type="gramEnd"/>
      <w:r>
        <w:rPr>
          <w:rFonts w:asciiTheme="majorBidi" w:hAnsiTheme="majorBidi" w:cstheme="majorBidi"/>
          <w:i/>
          <w:iCs/>
        </w:rPr>
        <w:t xml:space="preserve"> cover page, Para </w:t>
      </w:r>
      <w:r>
        <w:rPr>
          <w:rFonts w:asciiTheme="majorBidi" w:hAnsiTheme="majorBidi" w:cstheme="majorBidi"/>
        </w:rPr>
        <w:t>5, (</w:t>
      </w:r>
      <w:r>
        <w:rPr>
          <w:rFonts w:asciiTheme="majorBidi" w:hAnsiTheme="majorBidi" w:cstheme="majorBidi"/>
          <w:i/>
          <w:iCs/>
        </w:rPr>
        <w:t>see</w:t>
      </w:r>
      <w:r>
        <w:rPr>
          <w:rFonts w:asciiTheme="majorBidi" w:hAnsiTheme="majorBidi" w:cstheme="majorBidi"/>
        </w:rPr>
        <w:t xml:space="preserve"> </w:t>
      </w:r>
      <w:r w:rsidRPr="00E071AB">
        <w:rPr>
          <w:rFonts w:asciiTheme="majorBidi" w:hAnsiTheme="majorBidi" w:cstheme="majorBidi"/>
          <w:i/>
          <w:iCs/>
        </w:rPr>
        <w:t>also</w:t>
      </w:r>
      <w:r>
        <w:rPr>
          <w:rFonts w:asciiTheme="majorBidi" w:hAnsiTheme="majorBidi" w:cstheme="majorBidi"/>
        </w:rPr>
        <w:t xml:space="preserve"> Amendment 1 </w:t>
      </w:r>
      <w:r w:rsidRPr="00E071AB">
        <w:rPr>
          <w:rFonts w:asciiTheme="majorBidi" w:hAnsiTheme="majorBidi" w:cstheme="majorBidi"/>
          <w:i/>
          <w:iCs/>
        </w:rPr>
        <w:t>and</w:t>
      </w:r>
      <w:r>
        <w:rPr>
          <w:rFonts w:asciiTheme="majorBidi" w:hAnsiTheme="majorBidi" w:cstheme="majorBidi"/>
        </w:rPr>
        <w:t xml:space="preserve"> 2)] — Insert the following new para after para 5: </w:t>
      </w:r>
    </w:p>
    <w:p w14:paraId="5C3ADDCD" w14:textId="77777777" w:rsidR="00612EAA" w:rsidRDefault="00612EAA" w:rsidP="00612EAA">
      <w:pPr>
        <w:rPr>
          <w:rFonts w:asciiTheme="majorBidi" w:hAnsiTheme="majorBidi" w:cstheme="majorBidi"/>
        </w:rPr>
      </w:pPr>
    </w:p>
    <w:p w14:paraId="595BE0EE" w14:textId="77777777" w:rsidR="00612EAA" w:rsidRDefault="00612EAA" w:rsidP="00612EAA">
      <w:pPr>
        <w:rPr>
          <w:rFonts w:asciiTheme="majorBidi" w:hAnsiTheme="majorBidi" w:cstheme="majorBidi"/>
        </w:rPr>
      </w:pPr>
      <w:r>
        <w:rPr>
          <w:rFonts w:asciiTheme="majorBidi" w:hAnsiTheme="majorBidi" w:cstheme="majorBidi"/>
        </w:rPr>
        <w:t xml:space="preserve">‘Clause </w:t>
      </w:r>
      <w:r>
        <w:rPr>
          <w:rFonts w:asciiTheme="majorBidi" w:hAnsiTheme="majorBidi" w:cstheme="majorBidi"/>
          <w:b/>
          <w:bCs/>
        </w:rPr>
        <w:t>4.2.2</w:t>
      </w:r>
      <w:r>
        <w:rPr>
          <w:rFonts w:asciiTheme="majorBidi" w:hAnsiTheme="majorBidi" w:cstheme="majorBidi"/>
        </w:rPr>
        <w:t xml:space="preserve"> has been modified for better clarity and the modified clause is given in National Annex C.’ </w:t>
      </w:r>
    </w:p>
    <w:p w14:paraId="34D0F409" w14:textId="77777777" w:rsidR="00612EAA" w:rsidRDefault="00612EAA" w:rsidP="00612EAA">
      <w:pPr>
        <w:rPr>
          <w:rFonts w:asciiTheme="majorBidi" w:hAnsiTheme="majorBidi" w:cstheme="majorBidi"/>
        </w:rPr>
      </w:pPr>
    </w:p>
    <w:p w14:paraId="4F2ED47C" w14:textId="1F1A4D24" w:rsidR="00612EAA" w:rsidRDefault="00612EAA" w:rsidP="00612EAA">
      <w:pPr>
        <w:rPr>
          <w:rFonts w:asciiTheme="majorBidi" w:hAnsiTheme="majorBidi" w:cstheme="majorBidi"/>
        </w:rPr>
      </w:pPr>
      <w:r>
        <w:rPr>
          <w:rFonts w:asciiTheme="majorBidi" w:hAnsiTheme="majorBidi" w:cstheme="majorBidi"/>
        </w:rPr>
        <w:t>[</w:t>
      </w:r>
      <w:r>
        <w:rPr>
          <w:rFonts w:asciiTheme="majorBidi" w:hAnsiTheme="majorBidi" w:cstheme="majorBidi"/>
          <w:i/>
          <w:iCs/>
        </w:rPr>
        <w:t xml:space="preserve">Page </w:t>
      </w:r>
      <w:r>
        <w:rPr>
          <w:rFonts w:asciiTheme="majorBidi" w:hAnsiTheme="majorBidi" w:cstheme="majorBidi"/>
        </w:rPr>
        <w:t xml:space="preserve">22, </w:t>
      </w:r>
      <w:r>
        <w:rPr>
          <w:rFonts w:asciiTheme="majorBidi" w:hAnsiTheme="majorBidi" w:cstheme="majorBidi"/>
          <w:i/>
          <w:iCs/>
        </w:rPr>
        <w:t xml:space="preserve">National Annex </w:t>
      </w:r>
      <w:r>
        <w:rPr>
          <w:rFonts w:asciiTheme="majorBidi" w:hAnsiTheme="majorBidi" w:cstheme="majorBidi"/>
        </w:rPr>
        <w:t>B, (</w:t>
      </w:r>
      <w:r>
        <w:rPr>
          <w:rFonts w:asciiTheme="majorBidi" w:hAnsiTheme="majorBidi" w:cstheme="majorBidi"/>
          <w:i/>
          <w:iCs/>
        </w:rPr>
        <w:t>see</w:t>
      </w:r>
      <w:r w:rsidRPr="00832B28">
        <w:rPr>
          <w:rFonts w:asciiTheme="majorBidi" w:hAnsiTheme="majorBidi" w:cstheme="majorBidi"/>
          <w:i/>
          <w:iCs/>
        </w:rPr>
        <w:t xml:space="preserve"> also</w:t>
      </w:r>
      <w:r>
        <w:rPr>
          <w:rFonts w:asciiTheme="majorBidi" w:hAnsiTheme="majorBidi" w:cstheme="majorBidi"/>
        </w:rPr>
        <w:t xml:space="preserve"> Amendment 2)] — Insert the following National Annex C after National Annex B: </w:t>
      </w:r>
    </w:p>
    <w:p w14:paraId="529A835F" w14:textId="77777777" w:rsidR="00612EAA" w:rsidRDefault="00612EAA" w:rsidP="00612EAA">
      <w:pPr>
        <w:jc w:val="center"/>
        <w:rPr>
          <w:rFonts w:asciiTheme="majorBidi" w:hAnsiTheme="majorBidi" w:cstheme="majorBidi"/>
          <w:b/>
          <w:bCs/>
        </w:rPr>
      </w:pPr>
    </w:p>
    <w:p w14:paraId="0CAEA3B0" w14:textId="77777777" w:rsidR="00612EAA" w:rsidRDefault="00612EAA" w:rsidP="00612EAA">
      <w:pPr>
        <w:jc w:val="center"/>
        <w:rPr>
          <w:rFonts w:asciiTheme="majorBidi" w:hAnsiTheme="majorBidi" w:cstheme="majorBidi"/>
          <w:b/>
          <w:bCs/>
        </w:rPr>
      </w:pPr>
      <w:r>
        <w:rPr>
          <w:rFonts w:asciiTheme="majorBidi" w:hAnsiTheme="majorBidi" w:cstheme="majorBidi"/>
          <w:b/>
          <w:bCs/>
        </w:rPr>
        <w:t>‘ANNEX C</w:t>
      </w:r>
    </w:p>
    <w:p w14:paraId="22CA580D" w14:textId="77777777" w:rsidR="00612EAA" w:rsidRDefault="00612EAA" w:rsidP="00612EAA">
      <w:pPr>
        <w:jc w:val="center"/>
        <w:rPr>
          <w:rFonts w:asciiTheme="majorBidi" w:hAnsiTheme="majorBidi" w:cstheme="majorBidi"/>
        </w:rPr>
      </w:pPr>
      <w:r>
        <w:rPr>
          <w:rFonts w:asciiTheme="majorBidi" w:hAnsiTheme="majorBidi" w:cstheme="majorBidi"/>
        </w:rPr>
        <w:t>(</w:t>
      </w:r>
      <w:r>
        <w:rPr>
          <w:rFonts w:asciiTheme="majorBidi" w:hAnsiTheme="majorBidi" w:cstheme="majorBidi"/>
          <w:i/>
          <w:iCs/>
        </w:rPr>
        <w:t>National Foreword</w:t>
      </w:r>
      <w:r>
        <w:rPr>
          <w:rFonts w:asciiTheme="majorBidi" w:hAnsiTheme="majorBidi" w:cstheme="majorBidi"/>
        </w:rPr>
        <w:t>)</w:t>
      </w:r>
    </w:p>
    <w:p w14:paraId="47A0BEA4" w14:textId="77777777" w:rsidR="00612EAA" w:rsidRDefault="00612EAA" w:rsidP="00612EAA">
      <w:pPr>
        <w:rPr>
          <w:rFonts w:asciiTheme="majorBidi" w:hAnsiTheme="majorBidi" w:cstheme="majorBidi"/>
        </w:rPr>
      </w:pPr>
      <w:r>
        <w:rPr>
          <w:rFonts w:asciiTheme="majorBidi" w:hAnsiTheme="majorBidi" w:cstheme="majorBidi"/>
          <w:b/>
          <w:bCs/>
        </w:rPr>
        <w:t>4.2.2</w:t>
      </w:r>
      <w:r>
        <w:rPr>
          <w:rFonts w:asciiTheme="majorBidi" w:hAnsiTheme="majorBidi" w:cstheme="majorBidi"/>
        </w:rPr>
        <w:t xml:space="preserve"> Protective clothing</w:t>
      </w:r>
    </w:p>
    <w:p w14:paraId="7CBE8433" w14:textId="77777777" w:rsidR="00612EAA" w:rsidRDefault="00612EAA" w:rsidP="00612EAA">
      <w:pPr>
        <w:rPr>
          <w:rFonts w:asciiTheme="majorBidi" w:hAnsiTheme="majorBidi" w:cstheme="majorBidi"/>
        </w:rPr>
      </w:pPr>
    </w:p>
    <w:p w14:paraId="1404D266" w14:textId="2A750E04" w:rsidR="00612EAA" w:rsidRDefault="00612EAA" w:rsidP="00612EAA">
      <w:pPr>
        <w:rPr>
          <w:rFonts w:asciiTheme="majorBidi" w:hAnsiTheme="majorBidi" w:cstheme="majorBidi"/>
        </w:rPr>
      </w:pPr>
      <w:r>
        <w:rPr>
          <w:rFonts w:asciiTheme="majorBidi" w:hAnsiTheme="majorBidi" w:cstheme="majorBidi"/>
        </w:rPr>
        <w:t>Heat and flame protective suits shall completely cover the upper and lower torso, neck, arms to the wrist, and legs to the ankle. Suits shall consist of one of the following:</w:t>
      </w:r>
    </w:p>
    <w:p w14:paraId="1808421D" w14:textId="77777777" w:rsidR="00612EAA" w:rsidRDefault="00612EAA" w:rsidP="00612EAA">
      <w:pPr>
        <w:rPr>
          <w:rFonts w:asciiTheme="majorBidi" w:hAnsiTheme="majorBidi" w:cstheme="majorBidi"/>
        </w:rPr>
      </w:pPr>
    </w:p>
    <w:p w14:paraId="0FDD08B6" w14:textId="77777777" w:rsidR="00612EAA" w:rsidRDefault="00612EAA" w:rsidP="00612EAA">
      <w:pPr>
        <w:ind w:left="720"/>
        <w:jc w:val="both"/>
        <w:rPr>
          <w:rFonts w:asciiTheme="majorBidi" w:hAnsiTheme="majorBidi" w:cstheme="majorBidi"/>
        </w:rPr>
      </w:pPr>
      <w:r>
        <w:rPr>
          <w:rFonts w:asciiTheme="majorBidi" w:hAnsiTheme="majorBidi" w:cstheme="majorBidi"/>
        </w:rPr>
        <w:t xml:space="preserve">a) a single garment, e.g. a coverall or boiler </w:t>
      </w:r>
      <w:proofErr w:type="gramStart"/>
      <w:r>
        <w:rPr>
          <w:rFonts w:asciiTheme="majorBidi" w:hAnsiTheme="majorBidi" w:cstheme="majorBidi"/>
        </w:rPr>
        <w:t>suit;</w:t>
      </w:r>
      <w:proofErr w:type="gramEnd"/>
    </w:p>
    <w:p w14:paraId="2DA3EE1B" w14:textId="77777777" w:rsidR="00612EAA" w:rsidRDefault="00612EAA" w:rsidP="00612EAA">
      <w:pPr>
        <w:ind w:left="720"/>
        <w:jc w:val="both"/>
        <w:rPr>
          <w:rFonts w:asciiTheme="majorBidi" w:hAnsiTheme="majorBidi" w:cstheme="majorBidi"/>
        </w:rPr>
      </w:pPr>
      <w:r>
        <w:rPr>
          <w:rFonts w:asciiTheme="majorBidi" w:hAnsiTheme="majorBidi" w:cstheme="majorBidi"/>
        </w:rPr>
        <w:t xml:space="preserve">b) a two-piece garment, consisting of a jacket and a pair of </w:t>
      </w:r>
      <w:proofErr w:type="gramStart"/>
      <w:r>
        <w:rPr>
          <w:rFonts w:asciiTheme="majorBidi" w:hAnsiTheme="majorBidi" w:cstheme="majorBidi"/>
        </w:rPr>
        <w:t>trousers;</w:t>
      </w:r>
      <w:proofErr w:type="gramEnd"/>
    </w:p>
    <w:p w14:paraId="04F2604C" w14:textId="77777777" w:rsidR="00612EAA" w:rsidRDefault="00612EAA" w:rsidP="00612EAA">
      <w:pPr>
        <w:jc w:val="both"/>
        <w:rPr>
          <w:rFonts w:asciiTheme="majorBidi" w:hAnsiTheme="majorBidi" w:cstheme="majorBidi"/>
        </w:rPr>
      </w:pPr>
    </w:p>
    <w:p w14:paraId="6164F8F5" w14:textId="77777777" w:rsidR="00612EAA" w:rsidRDefault="00612EAA" w:rsidP="00612EAA">
      <w:pPr>
        <w:jc w:val="both"/>
        <w:rPr>
          <w:rFonts w:asciiTheme="majorBidi" w:hAnsiTheme="majorBidi" w:cstheme="majorBidi"/>
        </w:rPr>
      </w:pPr>
      <w:r>
        <w:rPr>
          <w:rFonts w:asciiTheme="majorBidi" w:hAnsiTheme="majorBidi" w:cstheme="majorBidi"/>
        </w:rPr>
        <w:t xml:space="preserve">For two-piece garment, trouser bottoms shall overlap the top of the </w:t>
      </w:r>
      <w:proofErr w:type="gramStart"/>
      <w:r>
        <w:rPr>
          <w:rFonts w:asciiTheme="majorBidi" w:hAnsiTheme="majorBidi" w:cstheme="majorBidi"/>
        </w:rPr>
        <w:t>footwear</w:t>
      </w:r>
      <w:proofErr w:type="gramEnd"/>
      <w:r>
        <w:rPr>
          <w:rFonts w:asciiTheme="majorBidi" w:hAnsiTheme="majorBidi" w:cstheme="majorBidi"/>
        </w:rPr>
        <w:t xml:space="preserve"> and this overlap should be maintained while walking and crawling.</w:t>
      </w:r>
    </w:p>
    <w:p w14:paraId="79AFB56D" w14:textId="77777777" w:rsidR="00612EAA" w:rsidRDefault="00612EAA" w:rsidP="00612EAA">
      <w:pPr>
        <w:jc w:val="both"/>
        <w:rPr>
          <w:rFonts w:asciiTheme="majorBidi" w:hAnsiTheme="majorBidi" w:cstheme="majorBidi"/>
        </w:rPr>
      </w:pPr>
    </w:p>
    <w:p w14:paraId="64D02269" w14:textId="77777777" w:rsidR="00612EAA" w:rsidRDefault="00612EAA" w:rsidP="00612EAA">
      <w:pPr>
        <w:jc w:val="both"/>
        <w:rPr>
          <w:rFonts w:asciiTheme="majorBidi" w:hAnsiTheme="majorBidi" w:cstheme="majorBidi"/>
        </w:rPr>
      </w:pPr>
      <w:r>
        <w:rPr>
          <w:rFonts w:asciiTheme="majorBidi" w:hAnsiTheme="majorBidi" w:cstheme="majorBidi"/>
        </w:rPr>
        <w:t>Also, quick-release fastenings shall be provided to enable rapid removal of the garments in the event of an emergency.</w:t>
      </w:r>
    </w:p>
    <w:p w14:paraId="1FC5141A" w14:textId="77777777" w:rsidR="00612EAA" w:rsidRDefault="00612EAA" w:rsidP="00612EAA">
      <w:pPr>
        <w:rPr>
          <w:rFonts w:asciiTheme="majorBidi" w:hAnsiTheme="majorBidi" w:cstheme="majorBidi"/>
        </w:rPr>
      </w:pPr>
    </w:p>
    <w:p w14:paraId="66A0E9E2" w14:textId="77777777" w:rsidR="00612EAA" w:rsidRDefault="00612EAA" w:rsidP="00696300">
      <w:pPr>
        <w:jc w:val="both"/>
        <w:rPr>
          <w:rFonts w:asciiTheme="majorBidi" w:hAnsiTheme="majorBidi" w:cstheme="majorBidi"/>
        </w:rPr>
      </w:pPr>
      <w:r>
        <w:rPr>
          <w:rFonts w:asciiTheme="majorBidi" w:hAnsiTheme="majorBidi" w:cstheme="majorBidi"/>
        </w:rPr>
        <w:t>Where protection to the requirements of this International Standard is provided by an outer two-piece suit, it shall be determined that, when correctly sized for the wearer, an overlap between the jacket and trousers remains when one standing wearer firstly fully extends both arms above the head and then bends over until the fingertips touch the ground.</w:t>
      </w:r>
    </w:p>
    <w:p w14:paraId="46396508" w14:textId="77777777" w:rsidR="00612EAA" w:rsidRDefault="00612EAA" w:rsidP="00696300">
      <w:pPr>
        <w:jc w:val="both"/>
        <w:rPr>
          <w:rFonts w:asciiTheme="majorBidi" w:hAnsiTheme="majorBidi" w:cstheme="majorBidi"/>
        </w:rPr>
      </w:pPr>
    </w:p>
    <w:p w14:paraId="22E5CD42" w14:textId="77777777" w:rsidR="00612EAA" w:rsidRDefault="00612EAA" w:rsidP="00696300">
      <w:pPr>
        <w:jc w:val="both"/>
        <w:rPr>
          <w:rFonts w:asciiTheme="majorBidi" w:hAnsiTheme="majorBidi" w:cstheme="majorBidi"/>
        </w:rPr>
      </w:pPr>
      <w:r>
        <w:rPr>
          <w:rFonts w:asciiTheme="majorBidi" w:hAnsiTheme="majorBidi" w:cstheme="majorBidi"/>
        </w:rPr>
        <w:t>Conformity shall be checked by visual inspection including an assessment of fit and physical measuring when the appropriate size of clothing is donned by a wearer.</w:t>
      </w:r>
    </w:p>
    <w:p w14:paraId="65001F49" w14:textId="77777777" w:rsidR="00612EAA" w:rsidRDefault="00612EAA" w:rsidP="00696300">
      <w:pPr>
        <w:jc w:val="both"/>
        <w:rPr>
          <w:rFonts w:asciiTheme="majorBidi" w:hAnsiTheme="majorBidi" w:cstheme="majorBidi"/>
        </w:rPr>
      </w:pPr>
    </w:p>
    <w:p w14:paraId="0409024F" w14:textId="1EBB2EEB" w:rsidR="00612EAA" w:rsidRDefault="00612EAA" w:rsidP="00696300">
      <w:pPr>
        <w:jc w:val="both"/>
        <w:rPr>
          <w:rFonts w:asciiTheme="majorBidi" w:hAnsiTheme="majorBidi" w:cstheme="majorBidi"/>
        </w:rPr>
      </w:pPr>
      <w:r>
        <w:rPr>
          <w:rFonts w:asciiTheme="majorBidi" w:hAnsiTheme="majorBidi" w:cstheme="majorBidi"/>
        </w:rPr>
        <w:t>In addition, the wrists, lower arms, and ankles shall also remain covered in an upright position; this shall also apply to one-piece suits.’</w:t>
      </w:r>
    </w:p>
    <w:p w14:paraId="0A1AF36C" w14:textId="77777777" w:rsidR="00820331" w:rsidRDefault="00820331"/>
    <w:p w14:paraId="29D5C3E8" w14:textId="77777777" w:rsidR="005E41E4" w:rsidRDefault="005E41E4"/>
    <w:p w14:paraId="33B8D6C5" w14:textId="77777777" w:rsidR="005E41E4" w:rsidRDefault="005E41E4"/>
    <w:p w14:paraId="7FD88F07" w14:textId="77777777" w:rsidR="005E41E4" w:rsidRDefault="005E41E4"/>
    <w:p w14:paraId="67A86E41" w14:textId="16DCD48D" w:rsidR="005E41E4" w:rsidRPr="005E41E4" w:rsidRDefault="005E41E4">
      <w:pPr>
        <w:rPr>
          <w:u w:val="single"/>
        </w:rPr>
      </w:pPr>
      <w:r w:rsidRPr="005E41E4">
        <w:rPr>
          <w:u w:val="single"/>
        </w:rPr>
        <w:t>TXD 32</w:t>
      </w:r>
    </w:p>
    <w:sectPr w:rsidR="005E41E4" w:rsidRPr="005E4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AA"/>
    <w:rsid w:val="005E41E4"/>
    <w:rsid w:val="00612EAA"/>
    <w:rsid w:val="00663071"/>
    <w:rsid w:val="00664B30"/>
    <w:rsid w:val="00696300"/>
    <w:rsid w:val="00820331"/>
    <w:rsid w:val="00D00F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6E116F3"/>
  <w15:chartTrackingRefBased/>
  <w15:docId w15:val="{5C237132-2D78-C342-925D-E0281A80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AA"/>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612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E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E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E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E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EAA"/>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612EAA"/>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612EAA"/>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612EAA"/>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612EAA"/>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612EAA"/>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12EAA"/>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12EAA"/>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12EAA"/>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12E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EAA"/>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12E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EAA"/>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12E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2EAA"/>
    <w:rPr>
      <w:i/>
      <w:iCs/>
      <w:color w:val="404040" w:themeColor="text1" w:themeTint="BF"/>
      <w:lang w:val="en-GB"/>
    </w:rPr>
  </w:style>
  <w:style w:type="paragraph" w:styleId="ListParagraph">
    <w:name w:val="List Paragraph"/>
    <w:basedOn w:val="Normal"/>
    <w:uiPriority w:val="34"/>
    <w:qFormat/>
    <w:rsid w:val="00612EAA"/>
    <w:pPr>
      <w:ind w:left="720"/>
      <w:contextualSpacing/>
    </w:pPr>
  </w:style>
  <w:style w:type="character" w:styleId="IntenseEmphasis">
    <w:name w:val="Intense Emphasis"/>
    <w:basedOn w:val="DefaultParagraphFont"/>
    <w:uiPriority w:val="21"/>
    <w:qFormat/>
    <w:rsid w:val="00612EAA"/>
    <w:rPr>
      <w:i/>
      <w:iCs/>
      <w:color w:val="0F4761" w:themeColor="accent1" w:themeShade="BF"/>
    </w:rPr>
  </w:style>
  <w:style w:type="paragraph" w:styleId="IntenseQuote">
    <w:name w:val="Intense Quote"/>
    <w:basedOn w:val="Normal"/>
    <w:next w:val="Normal"/>
    <w:link w:val="IntenseQuoteChar"/>
    <w:uiPriority w:val="30"/>
    <w:qFormat/>
    <w:rsid w:val="00612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EAA"/>
    <w:rPr>
      <w:i/>
      <w:iCs/>
      <w:color w:val="0F4761" w:themeColor="accent1" w:themeShade="BF"/>
      <w:lang w:val="en-GB"/>
    </w:rPr>
  </w:style>
  <w:style w:type="character" w:styleId="IntenseReference">
    <w:name w:val="Intense Reference"/>
    <w:basedOn w:val="DefaultParagraphFont"/>
    <w:uiPriority w:val="32"/>
    <w:qFormat/>
    <w:rsid w:val="00612E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Katiyar</dc:creator>
  <cp:keywords/>
  <dc:description/>
  <cp:lastModifiedBy>Mayur Katiyar</cp:lastModifiedBy>
  <cp:revision>4</cp:revision>
  <dcterms:created xsi:type="dcterms:W3CDTF">2024-09-16T16:51:00Z</dcterms:created>
  <dcterms:modified xsi:type="dcterms:W3CDTF">2024-09-16T19:19:00Z</dcterms:modified>
</cp:coreProperties>
</file>