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597" w:type="dxa"/>
        <w:tblLayout w:type="fixed"/>
        <w:tblLook w:val="04A0" w:firstRow="1" w:lastRow="0" w:firstColumn="1" w:lastColumn="0" w:noHBand="0" w:noVBand="1"/>
      </w:tblPr>
      <w:tblGrid>
        <w:gridCol w:w="1354"/>
        <w:gridCol w:w="2202"/>
        <w:gridCol w:w="9"/>
        <w:gridCol w:w="2448"/>
        <w:gridCol w:w="2584"/>
      </w:tblGrid>
      <w:tr w:rsidR="008F0B8B" w14:paraId="0950AE47" w14:textId="3A1FE3C6" w:rsidTr="003A732E">
        <w:trPr>
          <w:trHeight w:val="546"/>
        </w:trPr>
        <w:tc>
          <w:tcPr>
            <w:tcW w:w="1354" w:type="dxa"/>
          </w:tcPr>
          <w:p w14:paraId="71B70185" w14:textId="2110F56F" w:rsidR="008F0B8B" w:rsidRPr="00EC16F7" w:rsidRDefault="008F0B8B" w:rsidP="00847D13">
            <w:pPr>
              <w:rPr>
                <w:b/>
                <w:bCs/>
              </w:rPr>
            </w:pPr>
            <w:r>
              <w:rPr>
                <w:b/>
                <w:bCs/>
              </w:rPr>
              <w:t>ASPECTS</w:t>
            </w:r>
          </w:p>
        </w:tc>
        <w:tc>
          <w:tcPr>
            <w:tcW w:w="2202" w:type="dxa"/>
          </w:tcPr>
          <w:p w14:paraId="14C24C0C" w14:textId="2E43F42F" w:rsidR="008F0B8B" w:rsidRPr="00EC16F7" w:rsidRDefault="008F0B8B" w:rsidP="00847D13">
            <w:pPr>
              <w:rPr>
                <w:b/>
                <w:bCs/>
              </w:rPr>
            </w:pPr>
            <w:r>
              <w:t xml:space="preserve">          </w:t>
            </w:r>
            <w:r>
              <w:rPr>
                <w:b/>
                <w:bCs/>
              </w:rPr>
              <w:t>DPDP ACT</w:t>
            </w:r>
          </w:p>
        </w:tc>
        <w:tc>
          <w:tcPr>
            <w:tcW w:w="2457" w:type="dxa"/>
            <w:gridSpan w:val="2"/>
          </w:tcPr>
          <w:p w14:paraId="7CEC1E3B" w14:textId="1E4C2FAE" w:rsidR="008F0B8B" w:rsidRPr="00EC16F7" w:rsidRDefault="008F0B8B" w:rsidP="00847D13">
            <w:pPr>
              <w:rPr>
                <w:b/>
                <w:bCs/>
              </w:rPr>
            </w:pPr>
            <w:r>
              <w:t xml:space="preserve">   </w:t>
            </w:r>
            <w:r>
              <w:rPr>
                <w:b/>
                <w:bCs/>
              </w:rPr>
              <w:t>IS 17428_PART-1</w:t>
            </w:r>
            <w:r w:rsidR="005E74FF">
              <w:rPr>
                <w:b/>
                <w:bCs/>
              </w:rPr>
              <w:t>_2020</w:t>
            </w:r>
            <w:r>
              <w:rPr>
                <w:b/>
                <w:bCs/>
              </w:rPr>
              <w:t xml:space="preserve"> STANDARD</w:t>
            </w:r>
          </w:p>
        </w:tc>
        <w:tc>
          <w:tcPr>
            <w:tcW w:w="2584" w:type="dxa"/>
            <w:shd w:val="clear" w:color="auto" w:fill="auto"/>
          </w:tcPr>
          <w:p w14:paraId="7471EE3B" w14:textId="46295876" w:rsidR="008F0B8B" w:rsidRPr="008F0B8B" w:rsidRDefault="008F0B8B" w:rsidP="00847D13">
            <w:pPr>
              <w:rPr>
                <w:b/>
                <w:bCs/>
              </w:rPr>
            </w:pPr>
            <w:r>
              <w:rPr>
                <w:b/>
                <w:bCs/>
              </w:rPr>
              <w:t xml:space="preserve">ISO/IEC </w:t>
            </w:r>
            <w:r w:rsidR="005E74FF">
              <w:rPr>
                <w:b/>
                <w:bCs/>
              </w:rPr>
              <w:t xml:space="preserve">DIS </w:t>
            </w:r>
            <w:r>
              <w:rPr>
                <w:b/>
                <w:bCs/>
              </w:rPr>
              <w:t>27701</w:t>
            </w:r>
          </w:p>
        </w:tc>
      </w:tr>
      <w:tr w:rsidR="008F0B8B" w14:paraId="3D3D9F46" w14:textId="51CD3C54" w:rsidTr="003A732E">
        <w:trPr>
          <w:trHeight w:val="145"/>
        </w:trPr>
        <w:tc>
          <w:tcPr>
            <w:tcW w:w="1354" w:type="dxa"/>
          </w:tcPr>
          <w:p w14:paraId="773AA28C" w14:textId="3B052C0A" w:rsidR="008F0B8B" w:rsidRPr="00EC16F7" w:rsidRDefault="008F0B8B" w:rsidP="00847D13">
            <w:pPr>
              <w:rPr>
                <w:b/>
                <w:bCs/>
              </w:rPr>
            </w:pPr>
            <w:r>
              <w:rPr>
                <w:b/>
                <w:bCs/>
              </w:rPr>
              <w:t>ABOUT</w:t>
            </w:r>
          </w:p>
        </w:tc>
        <w:tc>
          <w:tcPr>
            <w:tcW w:w="2202" w:type="dxa"/>
          </w:tcPr>
          <w:p w14:paraId="1F7ABD03" w14:textId="6CF06947" w:rsidR="008F0B8B" w:rsidRDefault="005E74FF" w:rsidP="00847D13">
            <w:r>
              <w:t>An Act to provide for the processing of digital personal data in a manner that recognises both the right of individuals (like right to be informed) to protect their personal data and the need to process such personal data for lawful purposes</w:t>
            </w:r>
            <w:r w:rsidR="008F0B8B">
              <w:t>.</w:t>
            </w:r>
          </w:p>
        </w:tc>
        <w:tc>
          <w:tcPr>
            <w:tcW w:w="2457" w:type="dxa"/>
            <w:gridSpan w:val="2"/>
          </w:tcPr>
          <w:p w14:paraId="42B1E226" w14:textId="059E5C2A" w:rsidR="008F0B8B" w:rsidRDefault="008F0B8B" w:rsidP="00847D13">
            <w:r>
              <w:t xml:space="preserve">Provides specific requirements – both management and engineering - for establishing, implementing, maintaining and continually improving a Data Privacy Management System. </w:t>
            </w:r>
          </w:p>
        </w:tc>
        <w:tc>
          <w:tcPr>
            <w:tcW w:w="2584" w:type="dxa"/>
            <w:shd w:val="clear" w:color="auto" w:fill="auto"/>
          </w:tcPr>
          <w:p w14:paraId="499035C3" w14:textId="20409488" w:rsidR="008F0B8B" w:rsidRDefault="0009795D" w:rsidP="00847D13">
            <w:r>
              <w:t>This document specifies requirements for establishing, implementing, maintaining and continually improving a privacy information management system (PIMS).</w:t>
            </w:r>
          </w:p>
        </w:tc>
      </w:tr>
      <w:tr w:rsidR="008F0B8B" w14:paraId="390678AE" w14:textId="3C6B4C1D" w:rsidTr="003A732E">
        <w:trPr>
          <w:trHeight w:val="145"/>
        </w:trPr>
        <w:tc>
          <w:tcPr>
            <w:tcW w:w="1354" w:type="dxa"/>
          </w:tcPr>
          <w:p w14:paraId="0014279C" w14:textId="080B0FB3" w:rsidR="008F0B8B" w:rsidRPr="00A3108A" w:rsidRDefault="008F0B8B" w:rsidP="00847D13">
            <w:pPr>
              <w:rPr>
                <w:b/>
                <w:bCs/>
              </w:rPr>
            </w:pPr>
            <w:r>
              <w:rPr>
                <w:b/>
                <w:bCs/>
              </w:rPr>
              <w:t>PERSPECTIVE/NATURE</w:t>
            </w:r>
          </w:p>
        </w:tc>
        <w:tc>
          <w:tcPr>
            <w:tcW w:w="2202" w:type="dxa"/>
          </w:tcPr>
          <w:p w14:paraId="204043B8" w14:textId="693E243D" w:rsidR="008F0B8B" w:rsidRDefault="008F0B8B" w:rsidP="00847D13">
            <w:r>
              <w:t>Legal framework</w:t>
            </w:r>
          </w:p>
        </w:tc>
        <w:tc>
          <w:tcPr>
            <w:tcW w:w="2457" w:type="dxa"/>
            <w:gridSpan w:val="2"/>
          </w:tcPr>
          <w:p w14:paraId="5C72BE96" w14:textId="4A4BD0F5" w:rsidR="008F0B8B" w:rsidRDefault="00C63BC7" w:rsidP="00847D13">
            <w:r>
              <w:t>Both Technical</w:t>
            </w:r>
            <w:r w:rsidR="00481D9B">
              <w:t xml:space="preserve"> (SEC- 4)</w:t>
            </w:r>
            <w:r>
              <w:t xml:space="preserve"> and </w:t>
            </w:r>
            <w:r w:rsidR="005E74FF">
              <w:t>Management-oriented</w:t>
            </w:r>
            <w:r w:rsidR="008F0B8B">
              <w:t xml:space="preserve"> Standard</w:t>
            </w:r>
            <w:r w:rsidR="00481D9B">
              <w:t>(SEC-5)</w:t>
            </w:r>
          </w:p>
        </w:tc>
        <w:tc>
          <w:tcPr>
            <w:tcW w:w="2584" w:type="dxa"/>
            <w:shd w:val="clear" w:color="auto" w:fill="auto"/>
          </w:tcPr>
          <w:p w14:paraId="7B53B8F1" w14:textId="46207D45" w:rsidR="008F0B8B" w:rsidRDefault="00481D9B" w:rsidP="00847D13">
            <w:r>
              <w:t>Technical</w:t>
            </w:r>
            <w:r w:rsidR="00CE230F">
              <w:t xml:space="preserve"> </w:t>
            </w:r>
            <w:r>
              <w:t xml:space="preserve">(B.3.29) and </w:t>
            </w:r>
            <w:r w:rsidR="0009795D">
              <w:t>Management-oriented standard</w:t>
            </w:r>
            <w:r>
              <w:t xml:space="preserve">(3.23) </w:t>
            </w:r>
          </w:p>
        </w:tc>
      </w:tr>
      <w:tr w:rsidR="008F0B8B" w14:paraId="2670F98A" w14:textId="55EAEF88" w:rsidTr="003A732E">
        <w:trPr>
          <w:trHeight w:val="145"/>
        </w:trPr>
        <w:tc>
          <w:tcPr>
            <w:tcW w:w="1354" w:type="dxa"/>
          </w:tcPr>
          <w:p w14:paraId="48506C2C" w14:textId="49E6EB7A" w:rsidR="008F0B8B" w:rsidRPr="00A3108A" w:rsidRDefault="008F0B8B" w:rsidP="00847D13">
            <w:pPr>
              <w:rPr>
                <w:b/>
                <w:bCs/>
              </w:rPr>
            </w:pPr>
            <w:r>
              <w:rPr>
                <w:b/>
                <w:bCs/>
              </w:rPr>
              <w:t>DEFINITIONS :</w:t>
            </w:r>
          </w:p>
        </w:tc>
        <w:tc>
          <w:tcPr>
            <w:tcW w:w="2202" w:type="dxa"/>
          </w:tcPr>
          <w:p w14:paraId="5052C054" w14:textId="77777777" w:rsidR="008F0B8B" w:rsidRDefault="008F0B8B" w:rsidP="00847D13"/>
        </w:tc>
        <w:tc>
          <w:tcPr>
            <w:tcW w:w="2457" w:type="dxa"/>
            <w:gridSpan w:val="2"/>
          </w:tcPr>
          <w:p w14:paraId="11A94962" w14:textId="77777777" w:rsidR="008F0B8B" w:rsidRDefault="008F0B8B" w:rsidP="00847D13"/>
        </w:tc>
        <w:tc>
          <w:tcPr>
            <w:tcW w:w="2584" w:type="dxa"/>
            <w:shd w:val="clear" w:color="auto" w:fill="auto"/>
          </w:tcPr>
          <w:p w14:paraId="30F42985" w14:textId="77777777" w:rsidR="008F0B8B" w:rsidRDefault="008F0B8B" w:rsidP="00847D13"/>
        </w:tc>
      </w:tr>
      <w:tr w:rsidR="00481D9B" w14:paraId="64C5D800" w14:textId="21E9A97C" w:rsidTr="00481D9B">
        <w:trPr>
          <w:trHeight w:val="2098"/>
        </w:trPr>
        <w:tc>
          <w:tcPr>
            <w:tcW w:w="1354" w:type="dxa"/>
            <w:vMerge w:val="restart"/>
          </w:tcPr>
          <w:p w14:paraId="5721DACE" w14:textId="5A51B2F7" w:rsidR="00481D9B" w:rsidRDefault="00481D9B" w:rsidP="00847D13">
            <w:r>
              <w:t xml:space="preserve">        PERSONAL                    DATA/INFORMATION/PII</w:t>
            </w:r>
          </w:p>
        </w:tc>
        <w:tc>
          <w:tcPr>
            <w:tcW w:w="2202" w:type="dxa"/>
          </w:tcPr>
          <w:p w14:paraId="48D3E91A" w14:textId="63D20F11" w:rsidR="00481D9B" w:rsidRDefault="00481D9B" w:rsidP="00847D13">
            <w:r>
              <w:t>PERSONAL DATA: Any data about an individual who is identifiable by or in relation to such data.</w:t>
            </w:r>
            <w:r w:rsidR="005C1C4F">
              <w:t xml:space="preserve"> (2.(t))</w:t>
            </w:r>
          </w:p>
        </w:tc>
        <w:tc>
          <w:tcPr>
            <w:tcW w:w="2457" w:type="dxa"/>
            <w:gridSpan w:val="2"/>
          </w:tcPr>
          <w:p w14:paraId="04A2633D" w14:textId="2040F117" w:rsidR="00481D9B" w:rsidRDefault="00481D9B" w:rsidP="00847D13">
            <w:r>
              <w:t xml:space="preserve">PERSONAL </w:t>
            </w:r>
            <w:proofErr w:type="gramStart"/>
            <w:r>
              <w:t>INFORMATION :</w:t>
            </w:r>
            <w:proofErr w:type="gramEnd"/>
            <w:r>
              <w:t xml:space="preserve"> Any information that (a) can be used to identify the Individual to whom such information relates to, or (b) is or might be directly or indirectly linked to an Individual.</w:t>
            </w:r>
            <w:r w:rsidR="005C1C4F">
              <w:t xml:space="preserve"> (3.14)</w:t>
            </w:r>
          </w:p>
        </w:tc>
        <w:tc>
          <w:tcPr>
            <w:tcW w:w="2584" w:type="dxa"/>
            <w:shd w:val="clear" w:color="auto" w:fill="auto"/>
          </w:tcPr>
          <w:p w14:paraId="1C17CF8B" w14:textId="5B04E594" w:rsidR="00481D9B" w:rsidRDefault="00481D9B" w:rsidP="00847D13">
            <w:proofErr w:type="gramStart"/>
            <w:r>
              <w:t>PII :</w:t>
            </w:r>
            <w:proofErr w:type="gramEnd"/>
            <w:r>
              <w:t xml:space="preserve"> </w:t>
            </w:r>
            <w:r w:rsidR="007E748B">
              <w:t xml:space="preserve">It is the </w:t>
            </w:r>
            <w:r w:rsidR="007E748B">
              <w:rPr>
                <w:rFonts w:ascii="Helvetica" w:hAnsi="Helvetica"/>
                <w:color w:val="000000"/>
                <w:sz w:val="20"/>
                <w:szCs w:val="20"/>
                <w:shd w:val="clear" w:color="auto" w:fill="FFFFFF"/>
              </w:rPr>
              <w:t>information that (a) can be used to establish a link between the information and the natural person to whom such information relates, or (b) is or might be directly or indirectly linked to a natural person</w:t>
            </w:r>
            <w:r w:rsidR="005C1C4F">
              <w:rPr>
                <w:rFonts w:ascii="Helvetica" w:hAnsi="Helvetica"/>
                <w:color w:val="000000"/>
                <w:sz w:val="20"/>
                <w:szCs w:val="20"/>
                <w:shd w:val="clear" w:color="auto" w:fill="FFFFFF"/>
              </w:rPr>
              <w:t>.    [from standard 29100, 3.7]</w:t>
            </w:r>
          </w:p>
        </w:tc>
      </w:tr>
      <w:tr w:rsidR="00481D9B" w14:paraId="0A90A90E" w14:textId="77777777" w:rsidTr="003A732E">
        <w:trPr>
          <w:trHeight w:val="1423"/>
        </w:trPr>
        <w:tc>
          <w:tcPr>
            <w:tcW w:w="1354" w:type="dxa"/>
            <w:vMerge/>
          </w:tcPr>
          <w:p w14:paraId="3E09D1E9" w14:textId="77777777" w:rsidR="00481D9B" w:rsidRDefault="00481D9B" w:rsidP="00847D13"/>
        </w:tc>
        <w:tc>
          <w:tcPr>
            <w:tcW w:w="2202" w:type="dxa"/>
          </w:tcPr>
          <w:p w14:paraId="19C6B3A9" w14:textId="795F8B63" w:rsidR="00481D9B" w:rsidRDefault="007E748B" w:rsidP="00847D13">
            <w:r>
              <w:t xml:space="preserve">Data </w:t>
            </w:r>
            <w:r w:rsidR="00385135">
              <w:t>used to identify a specific person.</w:t>
            </w:r>
          </w:p>
        </w:tc>
        <w:tc>
          <w:tcPr>
            <w:tcW w:w="2457" w:type="dxa"/>
            <w:gridSpan w:val="2"/>
          </w:tcPr>
          <w:p w14:paraId="76E70FF7" w14:textId="5CF96AC2" w:rsidR="00481D9B" w:rsidRDefault="00385135" w:rsidP="00847D13">
            <w:r>
              <w:t>Data used to identify a specific person directly or indirectly.</w:t>
            </w:r>
          </w:p>
        </w:tc>
        <w:tc>
          <w:tcPr>
            <w:tcW w:w="2584" w:type="dxa"/>
            <w:shd w:val="clear" w:color="auto" w:fill="auto"/>
          </w:tcPr>
          <w:p w14:paraId="195C7211" w14:textId="523E1AB8" w:rsidR="00481D9B" w:rsidRDefault="007E748B" w:rsidP="00847D13">
            <w:r>
              <w:t>Information that is connected to a specific person directly or indirectly.</w:t>
            </w:r>
          </w:p>
        </w:tc>
      </w:tr>
      <w:tr w:rsidR="00385135" w14:paraId="265EBFE6" w14:textId="5881C4A3" w:rsidTr="000805BE">
        <w:trPr>
          <w:trHeight w:val="2469"/>
        </w:trPr>
        <w:tc>
          <w:tcPr>
            <w:tcW w:w="1354" w:type="dxa"/>
            <w:vMerge w:val="restart"/>
          </w:tcPr>
          <w:p w14:paraId="14FC64B9" w14:textId="5C5D75CA" w:rsidR="00385135" w:rsidRDefault="00385135" w:rsidP="00847D13">
            <w:r>
              <w:t>DATA or PII FIDUCIARY/CONTROLLER</w:t>
            </w:r>
          </w:p>
        </w:tc>
        <w:tc>
          <w:tcPr>
            <w:tcW w:w="2202" w:type="dxa"/>
          </w:tcPr>
          <w:p w14:paraId="31B0D630" w14:textId="5713B4D6" w:rsidR="00385135" w:rsidRDefault="00385135" w:rsidP="00847D13">
            <w:r>
              <w:t>“Data Fiduciary” means any person who alone or in conjunction with other persons determines the purpose and means of processing of personal data.</w:t>
            </w:r>
            <w:r w:rsidR="005C1C4F">
              <w:t xml:space="preserve"> (2.(</w:t>
            </w:r>
            <w:proofErr w:type="spellStart"/>
            <w:r w:rsidR="005C1C4F">
              <w:t>i</w:t>
            </w:r>
            <w:proofErr w:type="spellEnd"/>
            <w:r w:rsidR="005C1C4F">
              <w:t>))</w:t>
            </w:r>
          </w:p>
        </w:tc>
        <w:tc>
          <w:tcPr>
            <w:tcW w:w="2457" w:type="dxa"/>
            <w:gridSpan w:val="2"/>
          </w:tcPr>
          <w:p w14:paraId="6815C621" w14:textId="08418F80" w:rsidR="00385135" w:rsidRDefault="00385135" w:rsidP="00847D13">
            <w:r>
              <w:t>“Data Controller” means any organization that determines the means and purposes of processing the personal Information.</w:t>
            </w:r>
            <w:r w:rsidR="005C1C4F">
              <w:t xml:space="preserve"> (3.3)</w:t>
            </w:r>
          </w:p>
        </w:tc>
        <w:tc>
          <w:tcPr>
            <w:tcW w:w="2584" w:type="dxa"/>
            <w:shd w:val="clear" w:color="auto" w:fill="auto"/>
          </w:tcPr>
          <w:p w14:paraId="05618373" w14:textId="0A7A6A08" w:rsidR="00385135" w:rsidRDefault="00385135" w:rsidP="00847D13">
            <w:r w:rsidRPr="00702516">
              <w:t xml:space="preserve">PII controller </w:t>
            </w:r>
            <w:r>
              <w:t>is the one who d</w:t>
            </w:r>
            <w:r w:rsidRPr="00702516">
              <w:t>etermines the purposes and means of the processing of PII</w:t>
            </w:r>
            <w:r>
              <w:t>.</w:t>
            </w:r>
            <w:r w:rsidR="005C1C4F">
              <w:t xml:space="preserve">   </w:t>
            </w:r>
            <w:r w:rsidR="005C1C4F">
              <w:rPr>
                <w:rFonts w:ascii="Helvetica" w:hAnsi="Helvetica"/>
                <w:color w:val="000000"/>
                <w:sz w:val="20"/>
                <w:szCs w:val="20"/>
                <w:shd w:val="clear" w:color="auto" w:fill="FFFFFF"/>
              </w:rPr>
              <w:t>[from standard 29100, 3.7]</w:t>
            </w:r>
            <w:r w:rsidR="005C1C4F">
              <w:t xml:space="preserve">          </w:t>
            </w:r>
          </w:p>
        </w:tc>
      </w:tr>
      <w:tr w:rsidR="00385135" w14:paraId="6F5C726C" w14:textId="77777777" w:rsidTr="00385135">
        <w:trPr>
          <w:trHeight w:val="1723"/>
        </w:trPr>
        <w:tc>
          <w:tcPr>
            <w:tcW w:w="1354" w:type="dxa"/>
            <w:vMerge/>
          </w:tcPr>
          <w:p w14:paraId="5B5DC09B" w14:textId="77777777" w:rsidR="00385135" w:rsidRDefault="00385135" w:rsidP="00847D13"/>
        </w:tc>
        <w:tc>
          <w:tcPr>
            <w:tcW w:w="2202" w:type="dxa"/>
          </w:tcPr>
          <w:p w14:paraId="36B2E6A8" w14:textId="3F0D7416" w:rsidR="00385135" w:rsidRDefault="00A47725" w:rsidP="00847D13">
            <w:r>
              <w:t>An individual or organization that decides how and why personal data is collected and used.</w:t>
            </w:r>
          </w:p>
        </w:tc>
        <w:tc>
          <w:tcPr>
            <w:tcW w:w="2457" w:type="dxa"/>
            <w:gridSpan w:val="2"/>
          </w:tcPr>
          <w:p w14:paraId="08478789" w14:textId="31647709" w:rsidR="00385135" w:rsidRDefault="00A47725" w:rsidP="00847D13">
            <w:r>
              <w:t>An individual or organization that decides how and why personal information is collected and used.</w:t>
            </w:r>
          </w:p>
        </w:tc>
        <w:tc>
          <w:tcPr>
            <w:tcW w:w="2584" w:type="dxa"/>
            <w:shd w:val="clear" w:color="auto" w:fill="auto"/>
          </w:tcPr>
          <w:p w14:paraId="3B2757B4" w14:textId="1DBC5A43" w:rsidR="00385135" w:rsidRPr="00702516" w:rsidRDefault="00A47725" w:rsidP="00847D13">
            <w:r>
              <w:t>The person or entity that decides why and how PII is collected and used.</w:t>
            </w:r>
          </w:p>
        </w:tc>
      </w:tr>
      <w:tr w:rsidR="00DC51DB" w14:paraId="2DD275AB" w14:textId="08FC8B47" w:rsidTr="005C1C4F">
        <w:trPr>
          <w:trHeight w:val="1654"/>
        </w:trPr>
        <w:tc>
          <w:tcPr>
            <w:tcW w:w="1354" w:type="dxa"/>
            <w:vMerge w:val="restart"/>
          </w:tcPr>
          <w:p w14:paraId="1BF4A137" w14:textId="194C53DE" w:rsidR="00DC51DB" w:rsidRDefault="00DC51DB" w:rsidP="00847D13">
            <w:r>
              <w:lastRenderedPageBreak/>
              <w:t>DATA/PII PROCESSOR</w:t>
            </w:r>
          </w:p>
        </w:tc>
        <w:tc>
          <w:tcPr>
            <w:tcW w:w="2202" w:type="dxa"/>
          </w:tcPr>
          <w:p w14:paraId="12D97979" w14:textId="09D0C22A" w:rsidR="00DC51DB" w:rsidRDefault="00DC51DB" w:rsidP="00847D13">
            <w:r>
              <w:t>Any person who processes personal data on behalf of a Data Fiduciary. (2.(k))</w:t>
            </w:r>
          </w:p>
        </w:tc>
        <w:tc>
          <w:tcPr>
            <w:tcW w:w="2457" w:type="dxa"/>
            <w:gridSpan w:val="2"/>
          </w:tcPr>
          <w:p w14:paraId="3C15DD2A" w14:textId="659B036F" w:rsidR="00DC51DB" w:rsidRDefault="00DC51DB" w:rsidP="00847D13">
            <w:r>
              <w:t>Any organization that processes personal information on behalf of and in accordance with the instructions of a data controller. (3.5)</w:t>
            </w:r>
          </w:p>
        </w:tc>
        <w:tc>
          <w:tcPr>
            <w:tcW w:w="2584" w:type="dxa"/>
            <w:shd w:val="clear" w:color="auto" w:fill="auto"/>
          </w:tcPr>
          <w:p w14:paraId="5B77D49E" w14:textId="26DE1034" w:rsidR="00DC51DB" w:rsidRDefault="00DC51DB" w:rsidP="00847D13">
            <w:r>
              <w:t xml:space="preserve">PII </w:t>
            </w:r>
            <w:proofErr w:type="gramStart"/>
            <w:r>
              <w:t>PROCESSOR :</w:t>
            </w:r>
            <w:proofErr w:type="gramEnd"/>
            <w:r>
              <w:t xml:space="preserve"> </w:t>
            </w:r>
            <w:r>
              <w:rPr>
                <w:rFonts w:ascii="Helvetica" w:hAnsi="Helvetica"/>
                <w:color w:val="000000"/>
                <w:sz w:val="20"/>
                <w:szCs w:val="20"/>
                <w:shd w:val="clear" w:color="auto" w:fill="FFFFFF"/>
              </w:rPr>
              <w:t xml:space="preserve">Privacy stakeholder that processes PII on behalf of and in accordance with the instructions of a PII controller. </w:t>
            </w:r>
            <w:r w:rsidR="008D6E87">
              <w:rPr>
                <w:rFonts w:ascii="Helvetica" w:hAnsi="Helvetica"/>
                <w:color w:val="000000"/>
                <w:sz w:val="20"/>
                <w:szCs w:val="20"/>
                <w:shd w:val="clear" w:color="auto" w:fill="FFFFFF"/>
              </w:rPr>
              <w:t>[from standard 29100, 3.10]</w:t>
            </w:r>
            <w:r w:rsidR="008D6E87">
              <w:t xml:space="preserve">          </w:t>
            </w:r>
            <w:r>
              <w:t xml:space="preserve"> </w:t>
            </w:r>
          </w:p>
        </w:tc>
      </w:tr>
      <w:tr w:rsidR="00DC51DB" w14:paraId="150A1521" w14:textId="77777777" w:rsidTr="005C1C4F">
        <w:trPr>
          <w:trHeight w:val="711"/>
        </w:trPr>
        <w:tc>
          <w:tcPr>
            <w:tcW w:w="1354" w:type="dxa"/>
            <w:vMerge/>
          </w:tcPr>
          <w:p w14:paraId="4E875281" w14:textId="77777777" w:rsidR="00DC51DB" w:rsidRDefault="00DC51DB" w:rsidP="00847D13"/>
        </w:tc>
        <w:tc>
          <w:tcPr>
            <w:tcW w:w="2202" w:type="dxa"/>
          </w:tcPr>
          <w:p w14:paraId="3874EC1D" w14:textId="77777777" w:rsidR="00DC51DB" w:rsidRDefault="00DC51DB" w:rsidP="00847D13"/>
        </w:tc>
        <w:tc>
          <w:tcPr>
            <w:tcW w:w="2457" w:type="dxa"/>
            <w:gridSpan w:val="2"/>
          </w:tcPr>
          <w:p w14:paraId="7892F8C9" w14:textId="77777777" w:rsidR="00DC51DB" w:rsidRDefault="00DC51DB" w:rsidP="00847D13"/>
        </w:tc>
        <w:tc>
          <w:tcPr>
            <w:tcW w:w="2584" w:type="dxa"/>
            <w:shd w:val="clear" w:color="auto" w:fill="auto"/>
          </w:tcPr>
          <w:p w14:paraId="395F3892" w14:textId="040F8CFA" w:rsidR="00DC51DB" w:rsidRDefault="00DC51DB" w:rsidP="00847D13">
            <w:r>
              <w:t>An entity that handles PII as directed by PII controller.</w:t>
            </w:r>
            <w:r w:rsidR="008F2BCE">
              <w:t xml:space="preserve"> </w:t>
            </w:r>
            <w:r w:rsidR="008F2BCE">
              <w:br/>
              <w:t>Section 7 in 27701 does not explicitly contains the definition of data processor, however, it provides a framework for data processors to establish, implement, and maintain a robust privacy information management system, which is crucial for their operations and compliance.</w:t>
            </w:r>
          </w:p>
        </w:tc>
      </w:tr>
      <w:tr w:rsidR="00B7759F" w14:paraId="7886F81D" w14:textId="1F24A996" w:rsidTr="00B7759F">
        <w:trPr>
          <w:trHeight w:val="1337"/>
        </w:trPr>
        <w:tc>
          <w:tcPr>
            <w:tcW w:w="1354" w:type="dxa"/>
            <w:vMerge w:val="restart"/>
          </w:tcPr>
          <w:p w14:paraId="7DF8D9B0" w14:textId="6759D7E9" w:rsidR="00B7759F" w:rsidRDefault="00B7759F" w:rsidP="00847D13">
            <w:r>
              <w:t>DATA PRINCIPAL</w:t>
            </w:r>
            <w:r w:rsidR="008F2BCE">
              <w:t>/DATA SUBJECT</w:t>
            </w:r>
          </w:p>
        </w:tc>
        <w:tc>
          <w:tcPr>
            <w:tcW w:w="2202" w:type="dxa"/>
          </w:tcPr>
          <w:p w14:paraId="4EC43A76" w14:textId="004D8C3E" w:rsidR="00B7759F" w:rsidRDefault="008F2BCE" w:rsidP="00847D13">
            <w:r>
              <w:t xml:space="preserve">Data Principal - </w:t>
            </w:r>
            <w:r w:rsidR="00B7759F">
              <w:t>The individual to whom the personal data relates. (2.(j))</w:t>
            </w:r>
          </w:p>
        </w:tc>
        <w:tc>
          <w:tcPr>
            <w:tcW w:w="2457" w:type="dxa"/>
            <w:gridSpan w:val="2"/>
          </w:tcPr>
          <w:p w14:paraId="59038EB7" w14:textId="1B8CF582" w:rsidR="00B7759F" w:rsidRDefault="008F2BCE" w:rsidP="00847D13">
            <w:r>
              <w:t>Data Subject - Any natural person to whom the personal Information relates.</w:t>
            </w:r>
            <w:r w:rsidR="00B7759F">
              <w:t xml:space="preserve"> </w:t>
            </w:r>
            <w:r>
              <w:t>(3.6)</w:t>
            </w:r>
            <w:r w:rsidR="00B7759F">
              <w:t xml:space="preserve">                                                                       </w:t>
            </w:r>
          </w:p>
        </w:tc>
        <w:tc>
          <w:tcPr>
            <w:tcW w:w="2584" w:type="dxa"/>
            <w:shd w:val="clear" w:color="auto" w:fill="auto"/>
          </w:tcPr>
          <w:p w14:paraId="365F5C1F" w14:textId="53411C31" w:rsidR="008D6E87" w:rsidRPr="008D6E87" w:rsidRDefault="00CE230F" w:rsidP="008D6E87">
            <w:pPr>
              <w:shd w:val="clear" w:color="auto" w:fill="FFFFFF"/>
              <w:rPr>
                <w:rFonts w:ascii="Helvetica" w:hAnsi="Helvetica" w:cs="Helvetica"/>
                <w:color w:val="000000"/>
                <w:sz w:val="27"/>
                <w:szCs w:val="27"/>
              </w:rPr>
            </w:pPr>
            <w:r>
              <w:rPr>
                <w:rFonts w:ascii="Helvetica" w:hAnsi="Helvetica" w:cs="Helvetica"/>
                <w:color w:val="000000"/>
                <w:sz w:val="27"/>
                <w:szCs w:val="27"/>
              </w:rPr>
              <w:t>PII PRINCIPAL</w:t>
            </w:r>
            <w:r w:rsidR="008D6E87">
              <w:rPr>
                <w:rFonts w:ascii="Helvetica" w:hAnsi="Helvetica" w:cs="Helvetica"/>
                <w:color w:val="000000"/>
                <w:sz w:val="27"/>
                <w:szCs w:val="27"/>
              </w:rPr>
              <w:t>:</w:t>
            </w:r>
          </w:p>
          <w:p w14:paraId="035DD4ED" w14:textId="085A6740" w:rsidR="008D6E87" w:rsidRDefault="00CE230F" w:rsidP="008D6E87">
            <w:pPr>
              <w:shd w:val="clear" w:color="auto" w:fill="FFFFFF"/>
              <w:rPr>
                <w:rFonts w:ascii="Helvetica" w:hAnsi="Helvetica" w:cs="Helvetica"/>
                <w:color w:val="000000"/>
                <w:sz w:val="20"/>
                <w:szCs w:val="20"/>
              </w:rPr>
            </w:pPr>
            <w:r>
              <w:rPr>
                <w:rFonts w:ascii="Helvetica" w:hAnsi="Helvetica" w:cs="Helvetica"/>
                <w:color w:val="000000"/>
                <w:sz w:val="20"/>
                <w:szCs w:val="20"/>
              </w:rPr>
              <w:t>A n</w:t>
            </w:r>
            <w:r w:rsidR="008D6E87">
              <w:rPr>
                <w:rFonts w:ascii="Helvetica" w:hAnsi="Helvetica" w:cs="Helvetica"/>
                <w:color w:val="000000"/>
                <w:sz w:val="20"/>
                <w:szCs w:val="20"/>
              </w:rPr>
              <w:t xml:space="preserve">atural person to whom the PII relates </w:t>
            </w:r>
          </w:p>
          <w:p w14:paraId="5C8AA074" w14:textId="1119DDD9" w:rsidR="00B7759F" w:rsidRDefault="008D6E87" w:rsidP="00847D13">
            <w:r>
              <w:rPr>
                <w:rFonts w:ascii="Helvetica" w:hAnsi="Helvetica"/>
                <w:color w:val="000000"/>
                <w:sz w:val="20"/>
                <w:szCs w:val="20"/>
                <w:shd w:val="clear" w:color="auto" w:fill="FFFFFF"/>
              </w:rPr>
              <w:t>[from standard 29100, 3.9]</w:t>
            </w:r>
            <w:r>
              <w:t xml:space="preserve">           </w:t>
            </w:r>
          </w:p>
        </w:tc>
      </w:tr>
      <w:tr w:rsidR="00B7759F" w14:paraId="2E075B48" w14:textId="77777777" w:rsidTr="00B7759F">
        <w:trPr>
          <w:trHeight w:val="823"/>
        </w:trPr>
        <w:tc>
          <w:tcPr>
            <w:tcW w:w="1354" w:type="dxa"/>
            <w:vMerge/>
          </w:tcPr>
          <w:p w14:paraId="1F4E9042" w14:textId="77777777" w:rsidR="00B7759F" w:rsidRDefault="00B7759F" w:rsidP="00847D13"/>
        </w:tc>
        <w:tc>
          <w:tcPr>
            <w:tcW w:w="2202" w:type="dxa"/>
          </w:tcPr>
          <w:p w14:paraId="240102F4" w14:textId="031E0908" w:rsidR="00B7759F" w:rsidRDefault="00767A40" w:rsidP="00847D13">
            <w:r>
              <w:t>The person whose data is being collected.</w:t>
            </w:r>
          </w:p>
        </w:tc>
        <w:tc>
          <w:tcPr>
            <w:tcW w:w="2457" w:type="dxa"/>
            <w:gridSpan w:val="2"/>
          </w:tcPr>
          <w:p w14:paraId="55DB0F59" w14:textId="77777777" w:rsidR="00B7759F" w:rsidRDefault="00B7759F" w:rsidP="00847D13"/>
        </w:tc>
        <w:tc>
          <w:tcPr>
            <w:tcW w:w="2584" w:type="dxa"/>
            <w:shd w:val="clear" w:color="auto" w:fill="auto"/>
          </w:tcPr>
          <w:p w14:paraId="4FE8B8D3" w14:textId="225818E5" w:rsidR="00B7759F" w:rsidRDefault="008D6E87" w:rsidP="00847D13">
            <w:r>
              <w:t>The person whose data is being collected.</w:t>
            </w:r>
          </w:p>
        </w:tc>
      </w:tr>
      <w:tr w:rsidR="008D6E87" w14:paraId="35B4934E" w14:textId="4D3A6E7D" w:rsidTr="008D6E87">
        <w:trPr>
          <w:trHeight w:val="1491"/>
        </w:trPr>
        <w:tc>
          <w:tcPr>
            <w:tcW w:w="1354" w:type="dxa"/>
            <w:vMerge w:val="restart"/>
          </w:tcPr>
          <w:p w14:paraId="6CE9777B" w14:textId="43996B06" w:rsidR="008D6E87" w:rsidRDefault="008D6E87" w:rsidP="00847D13">
            <w:r>
              <w:t xml:space="preserve">CONSENT </w:t>
            </w:r>
          </w:p>
        </w:tc>
        <w:tc>
          <w:tcPr>
            <w:tcW w:w="2202" w:type="dxa"/>
          </w:tcPr>
          <w:p w14:paraId="539988C4" w14:textId="19713929" w:rsidR="008D6E87" w:rsidRDefault="008D6E87" w:rsidP="00847D13"/>
        </w:tc>
        <w:tc>
          <w:tcPr>
            <w:tcW w:w="2457" w:type="dxa"/>
            <w:gridSpan w:val="2"/>
          </w:tcPr>
          <w:p w14:paraId="4420B460" w14:textId="5C4E4522" w:rsidR="008D6E87" w:rsidRDefault="008D6E87" w:rsidP="00847D13">
            <w:r>
              <w:t>Data subject’s freely given, specific and informed agreement to the processing of their personal information. (3.2)</w:t>
            </w:r>
          </w:p>
        </w:tc>
        <w:tc>
          <w:tcPr>
            <w:tcW w:w="2584" w:type="dxa"/>
            <w:shd w:val="clear" w:color="auto" w:fill="auto"/>
          </w:tcPr>
          <w:p w14:paraId="55AD7DE9" w14:textId="06194A8D" w:rsidR="008D6E87" w:rsidRDefault="008D6E87" w:rsidP="00847D13">
            <w:r>
              <w:rPr>
                <w:rFonts w:ascii="Helvetica" w:hAnsi="Helvetica" w:cs="Helvetica"/>
                <w:color w:val="000000"/>
                <w:sz w:val="20"/>
                <w:szCs w:val="20"/>
                <w:shd w:val="clear" w:color="auto" w:fill="FFFFFF"/>
              </w:rPr>
              <w:t xml:space="preserve">PII’s freely given, specific and informed agreement to the processing of their PII                                </w:t>
            </w:r>
            <w:r>
              <w:rPr>
                <w:rFonts w:ascii="Helvetica" w:hAnsi="Helvetica"/>
                <w:color w:val="000000"/>
                <w:sz w:val="20"/>
                <w:szCs w:val="20"/>
                <w:shd w:val="clear" w:color="auto" w:fill="FFFFFF"/>
              </w:rPr>
              <w:t>[from standard 29100, 3.4]</w:t>
            </w:r>
            <w:r>
              <w:t xml:space="preserve">           </w:t>
            </w:r>
          </w:p>
        </w:tc>
      </w:tr>
      <w:tr w:rsidR="008D6E87" w14:paraId="68A82DF1" w14:textId="77777777" w:rsidTr="008D6E87">
        <w:trPr>
          <w:trHeight w:val="1458"/>
        </w:trPr>
        <w:tc>
          <w:tcPr>
            <w:tcW w:w="1354" w:type="dxa"/>
            <w:vMerge/>
          </w:tcPr>
          <w:p w14:paraId="639B3F54" w14:textId="77777777" w:rsidR="008D6E87" w:rsidRDefault="008D6E87" w:rsidP="00847D13"/>
        </w:tc>
        <w:tc>
          <w:tcPr>
            <w:tcW w:w="2202" w:type="dxa"/>
          </w:tcPr>
          <w:p w14:paraId="55D962B7" w14:textId="3201DC52" w:rsidR="008D6E87" w:rsidRDefault="00ED0CC0" w:rsidP="00847D13">
            <w:r>
              <w:t>Not mentioned explicitly.</w:t>
            </w:r>
          </w:p>
        </w:tc>
        <w:tc>
          <w:tcPr>
            <w:tcW w:w="2457" w:type="dxa"/>
            <w:gridSpan w:val="2"/>
          </w:tcPr>
          <w:p w14:paraId="0FACE139" w14:textId="6D61E97C" w:rsidR="008D6E87" w:rsidRDefault="008D6E87" w:rsidP="00847D13">
            <w:r>
              <w:t>It's when a person agrees to let their personal information be used, after being fully informed about how it will be processed and for what purposes.</w:t>
            </w:r>
          </w:p>
        </w:tc>
        <w:tc>
          <w:tcPr>
            <w:tcW w:w="2584" w:type="dxa"/>
            <w:shd w:val="clear" w:color="auto" w:fill="auto"/>
          </w:tcPr>
          <w:p w14:paraId="7648F9E8" w14:textId="3F9C2B99" w:rsidR="008D6E87" w:rsidRDefault="008D6E87" w:rsidP="00847D13">
            <w:pPr>
              <w:rPr>
                <w:rFonts w:ascii="Helvetica" w:hAnsi="Helvetica" w:cs="Helvetica"/>
                <w:color w:val="000000"/>
                <w:sz w:val="20"/>
                <w:szCs w:val="20"/>
                <w:shd w:val="clear" w:color="auto" w:fill="FFFFFF"/>
              </w:rPr>
            </w:pPr>
            <w:r>
              <w:t>It's when a person agrees to let their PII be used, after being fully informed about how it will be processed and for what purposes.</w:t>
            </w:r>
          </w:p>
        </w:tc>
      </w:tr>
      <w:tr w:rsidR="00271480" w14:paraId="24385831" w14:textId="638A3702" w:rsidTr="00271480">
        <w:trPr>
          <w:trHeight w:val="2451"/>
        </w:trPr>
        <w:tc>
          <w:tcPr>
            <w:tcW w:w="1354" w:type="dxa"/>
            <w:vMerge w:val="restart"/>
          </w:tcPr>
          <w:p w14:paraId="36137A3D" w14:textId="2E0B86A5" w:rsidR="00271480" w:rsidRDefault="00271480" w:rsidP="00847D13">
            <w:r>
              <w:lastRenderedPageBreak/>
              <w:t>SENSITIVE PERSONAL INFORMATION</w:t>
            </w:r>
          </w:p>
        </w:tc>
        <w:tc>
          <w:tcPr>
            <w:tcW w:w="2202" w:type="dxa"/>
          </w:tcPr>
          <w:p w14:paraId="244558B1" w14:textId="13B94DB0" w:rsidR="00271480" w:rsidRDefault="00271480" w:rsidP="00847D13"/>
        </w:tc>
        <w:tc>
          <w:tcPr>
            <w:tcW w:w="2457" w:type="dxa"/>
            <w:gridSpan w:val="2"/>
          </w:tcPr>
          <w:p w14:paraId="136852AC" w14:textId="3B42C786" w:rsidR="00271480" w:rsidRDefault="00271480" w:rsidP="00847D13">
            <w:r>
              <w:t>A special category of personal information, whose nature is either sensitive</w:t>
            </w:r>
            <w:r w:rsidR="00150A39">
              <w:t xml:space="preserve"> or that might have a significant impact on the individual</w:t>
            </w:r>
            <w:r>
              <w:t>. (3.22)</w:t>
            </w:r>
          </w:p>
        </w:tc>
        <w:tc>
          <w:tcPr>
            <w:tcW w:w="2584" w:type="dxa"/>
            <w:shd w:val="clear" w:color="auto" w:fill="auto"/>
          </w:tcPr>
          <w:p w14:paraId="486D29A8" w14:textId="104C3898" w:rsidR="00271480" w:rsidRDefault="00271480" w:rsidP="00847D13">
            <w:r>
              <w:rPr>
                <w:rFonts w:ascii="Helvetica" w:hAnsi="Helvetica" w:cs="Helvetica"/>
                <w:color w:val="000000"/>
                <w:sz w:val="20"/>
                <w:szCs w:val="20"/>
                <w:shd w:val="clear" w:color="auto" w:fill="FFFFFF"/>
              </w:rPr>
              <w:t>Category PII either whose nature is sensitive, such as those that relate to the PII Principal’s most intimate sphere, or that can have a significant impact on the PII principal.</w:t>
            </w:r>
            <w:r>
              <w:rPr>
                <w:rFonts w:ascii="Helvetica" w:hAnsi="Helvetica"/>
                <w:color w:val="000000"/>
                <w:sz w:val="20"/>
                <w:szCs w:val="20"/>
                <w:shd w:val="clear" w:color="auto" w:fill="FFFFFF"/>
              </w:rPr>
              <w:t xml:space="preserve"> [from standard 29100, 3.23]</w:t>
            </w:r>
            <w:r>
              <w:rPr>
                <w:rFonts w:ascii="Helvetica" w:hAnsi="Helvetica" w:cs="Helvetica"/>
                <w:color w:val="000000"/>
                <w:sz w:val="20"/>
                <w:szCs w:val="20"/>
                <w:shd w:val="clear" w:color="auto" w:fill="FFFFFF"/>
              </w:rPr>
              <w:t xml:space="preserve">  </w:t>
            </w:r>
          </w:p>
        </w:tc>
      </w:tr>
      <w:tr w:rsidR="00271480" w14:paraId="07783D42" w14:textId="77777777" w:rsidTr="00271480">
        <w:trPr>
          <w:trHeight w:val="1466"/>
        </w:trPr>
        <w:tc>
          <w:tcPr>
            <w:tcW w:w="1354" w:type="dxa"/>
            <w:vMerge/>
          </w:tcPr>
          <w:p w14:paraId="3426E107" w14:textId="77777777" w:rsidR="00271480" w:rsidRDefault="00271480" w:rsidP="00847D13"/>
        </w:tc>
        <w:tc>
          <w:tcPr>
            <w:tcW w:w="2202" w:type="dxa"/>
          </w:tcPr>
          <w:p w14:paraId="52938C01" w14:textId="72F6D99D" w:rsidR="00271480" w:rsidRDefault="00ED0CC0" w:rsidP="00847D13">
            <w:r>
              <w:t>Not mentioned explicitly.</w:t>
            </w:r>
          </w:p>
        </w:tc>
        <w:tc>
          <w:tcPr>
            <w:tcW w:w="2457" w:type="dxa"/>
            <w:gridSpan w:val="2"/>
          </w:tcPr>
          <w:p w14:paraId="016EE0A1" w14:textId="1D8EFFCB" w:rsidR="00271480" w:rsidRDefault="00150A39" w:rsidP="00847D13">
            <w:r>
              <w:t>It's a type of personal information that's considered more private or vulnerable, such as political opinions, or biometric data.</w:t>
            </w:r>
          </w:p>
        </w:tc>
        <w:tc>
          <w:tcPr>
            <w:tcW w:w="2584" w:type="dxa"/>
            <w:shd w:val="clear" w:color="auto" w:fill="auto"/>
          </w:tcPr>
          <w:p w14:paraId="15AC20EF" w14:textId="02761177" w:rsidR="00271480" w:rsidRDefault="00150A39" w:rsidP="00847D13">
            <w:pPr>
              <w:rPr>
                <w:rFonts w:ascii="Helvetica" w:hAnsi="Helvetica" w:cs="Helvetica"/>
                <w:color w:val="000000"/>
                <w:sz w:val="20"/>
                <w:szCs w:val="20"/>
                <w:shd w:val="clear" w:color="auto" w:fill="FFFFFF"/>
              </w:rPr>
            </w:pPr>
            <w:r>
              <w:t>It's a type of personal information that's considered more private or vulnerable, such as political opinions, or biometric data.</w:t>
            </w:r>
          </w:p>
        </w:tc>
      </w:tr>
      <w:tr w:rsidR="00A758DE" w14:paraId="5CFEEA29" w14:textId="1EE3FB62" w:rsidTr="00A758DE">
        <w:trPr>
          <w:trHeight w:val="2005"/>
        </w:trPr>
        <w:tc>
          <w:tcPr>
            <w:tcW w:w="1354" w:type="dxa"/>
            <w:vMerge w:val="restart"/>
          </w:tcPr>
          <w:p w14:paraId="209C2320" w14:textId="3B3F5A12" w:rsidR="00A758DE" w:rsidRDefault="00A758DE" w:rsidP="00847D13">
            <w:r>
              <w:t>PRIVACY CONTROLS</w:t>
            </w:r>
          </w:p>
        </w:tc>
        <w:tc>
          <w:tcPr>
            <w:tcW w:w="2202" w:type="dxa"/>
          </w:tcPr>
          <w:p w14:paraId="20FC3581" w14:textId="77777777" w:rsidR="00A758DE" w:rsidRDefault="00A758DE" w:rsidP="00847D13"/>
        </w:tc>
        <w:tc>
          <w:tcPr>
            <w:tcW w:w="2457" w:type="dxa"/>
            <w:gridSpan w:val="2"/>
          </w:tcPr>
          <w:p w14:paraId="069D5628" w14:textId="7721121B" w:rsidR="00A758DE" w:rsidRDefault="00A758DE" w:rsidP="00847D13">
            <w:r>
              <w:t>The measures that protect personal or sensitive personal information by reducing the likelihood of occurrence of privacy risk.</w:t>
            </w:r>
            <w:r w:rsidR="00ED0CC0">
              <w:t xml:space="preserve"> (3.16)</w:t>
            </w:r>
          </w:p>
        </w:tc>
        <w:tc>
          <w:tcPr>
            <w:tcW w:w="2584" w:type="dxa"/>
            <w:shd w:val="clear" w:color="auto" w:fill="auto"/>
          </w:tcPr>
          <w:p w14:paraId="2B2FA0EA" w14:textId="1FAF0BB0" w:rsidR="00A758DE" w:rsidRDefault="00A758DE" w:rsidP="00847D13">
            <w:r>
              <w:rPr>
                <w:rFonts w:ascii="Helvetica" w:hAnsi="Helvetica" w:cs="Helvetica"/>
                <w:color w:val="000000"/>
                <w:sz w:val="20"/>
                <w:szCs w:val="20"/>
                <w:shd w:val="clear" w:color="auto" w:fill="FFFFFF"/>
              </w:rPr>
              <w:t xml:space="preserve">Measure that treats privacy risks by reducing their likelihood or their consequences.                  </w:t>
            </w:r>
            <w:r>
              <w:rPr>
                <w:rFonts w:ascii="Helvetica" w:hAnsi="Helvetica"/>
                <w:color w:val="000000"/>
                <w:sz w:val="20"/>
                <w:szCs w:val="20"/>
                <w:shd w:val="clear" w:color="auto" w:fill="FFFFFF"/>
              </w:rPr>
              <w:t>[from standard 29100, 3.12]</w:t>
            </w:r>
            <w:r>
              <w:rPr>
                <w:rFonts w:ascii="Helvetica" w:hAnsi="Helvetica" w:cs="Helvetica"/>
                <w:color w:val="000000"/>
                <w:sz w:val="20"/>
                <w:szCs w:val="20"/>
                <w:shd w:val="clear" w:color="auto" w:fill="FFFFFF"/>
              </w:rPr>
              <w:t xml:space="preserve">  </w:t>
            </w:r>
          </w:p>
        </w:tc>
      </w:tr>
      <w:tr w:rsidR="00A758DE" w14:paraId="0B0A490E" w14:textId="77777777" w:rsidTr="00A758DE">
        <w:trPr>
          <w:trHeight w:val="1329"/>
        </w:trPr>
        <w:tc>
          <w:tcPr>
            <w:tcW w:w="1354" w:type="dxa"/>
            <w:vMerge/>
          </w:tcPr>
          <w:p w14:paraId="2484C4D9" w14:textId="77777777" w:rsidR="00A758DE" w:rsidRDefault="00A758DE" w:rsidP="00847D13"/>
        </w:tc>
        <w:tc>
          <w:tcPr>
            <w:tcW w:w="2202" w:type="dxa"/>
          </w:tcPr>
          <w:p w14:paraId="14806F3C" w14:textId="251A2F2A" w:rsidR="00A758DE" w:rsidRDefault="00ED0CC0" w:rsidP="00847D13">
            <w:r>
              <w:t>Not mentioned explicitly.</w:t>
            </w:r>
          </w:p>
        </w:tc>
        <w:tc>
          <w:tcPr>
            <w:tcW w:w="2457" w:type="dxa"/>
            <w:gridSpan w:val="2"/>
          </w:tcPr>
          <w:p w14:paraId="1E37FF54" w14:textId="027026C4" w:rsidR="00A758DE" w:rsidRDefault="00794209" w:rsidP="00847D13">
            <w:r>
              <w:t xml:space="preserve">These measures reduce the </w:t>
            </w:r>
            <w:r w:rsidR="00E26C93">
              <w:t>occurrence of risks to (sensitive) personal information.</w:t>
            </w:r>
          </w:p>
        </w:tc>
        <w:tc>
          <w:tcPr>
            <w:tcW w:w="2584" w:type="dxa"/>
            <w:shd w:val="clear" w:color="auto" w:fill="auto"/>
          </w:tcPr>
          <w:p w14:paraId="654B0BA3" w14:textId="238BCF26" w:rsidR="00A758DE" w:rsidRDefault="00E26C93" w:rsidP="00847D13">
            <w:pPr>
              <w:rPr>
                <w:rFonts w:ascii="Helvetica" w:hAnsi="Helvetica" w:cs="Helvetica"/>
                <w:color w:val="000000"/>
                <w:sz w:val="20"/>
                <w:szCs w:val="20"/>
                <w:shd w:val="clear" w:color="auto" w:fill="FFFFFF"/>
              </w:rPr>
            </w:pPr>
            <w:r>
              <w:t>These measures reduce the occurrence of risks.</w:t>
            </w:r>
          </w:p>
        </w:tc>
      </w:tr>
      <w:tr w:rsidR="00ED0CC0" w14:paraId="4B456F8C" w14:textId="5D3D0154" w:rsidTr="00ED0CC0">
        <w:trPr>
          <w:trHeight w:val="3233"/>
        </w:trPr>
        <w:tc>
          <w:tcPr>
            <w:tcW w:w="1354" w:type="dxa"/>
            <w:vMerge w:val="restart"/>
          </w:tcPr>
          <w:p w14:paraId="3A6A187D" w14:textId="58D21C59" w:rsidR="00ED0CC0" w:rsidRDefault="00ED0CC0" w:rsidP="00847D13">
            <w:r>
              <w:t>PRIVACY RISK ASSESSMENT</w:t>
            </w:r>
          </w:p>
        </w:tc>
        <w:tc>
          <w:tcPr>
            <w:tcW w:w="2202" w:type="dxa"/>
          </w:tcPr>
          <w:p w14:paraId="133A34FA" w14:textId="2469DE40" w:rsidR="00ED0CC0" w:rsidRDefault="008F2BCE" w:rsidP="00847D13">
            <w:r>
              <w:t>Periodic Data Protection Impact Assessment - A process comprising a description of the rights of Data Principals and the purpose of processing of their personal data, assessment and management of the risk to the rights of the Data Principals.</w:t>
            </w:r>
            <w:r w:rsidR="00CE230F">
              <w:t xml:space="preserve"> (Pg no. 9)</w:t>
            </w:r>
          </w:p>
        </w:tc>
        <w:tc>
          <w:tcPr>
            <w:tcW w:w="2457" w:type="dxa"/>
            <w:gridSpan w:val="2"/>
          </w:tcPr>
          <w:p w14:paraId="3B0F0BD3" w14:textId="296AE4C2" w:rsidR="00ED0CC0" w:rsidRDefault="00ED0CC0" w:rsidP="00847D13">
            <w:r>
              <w:t>It is the overall process of risk identification, risk analysis and risk evaluation with regard to the processing of personal information.(3.17)</w:t>
            </w:r>
          </w:p>
        </w:tc>
        <w:tc>
          <w:tcPr>
            <w:tcW w:w="2584" w:type="dxa"/>
            <w:shd w:val="clear" w:color="auto" w:fill="auto"/>
          </w:tcPr>
          <w:p w14:paraId="0868E8EF" w14:textId="0FEA0B3C" w:rsidR="00ED0CC0" w:rsidRDefault="00ED0CC0" w:rsidP="00847D13">
            <w:r>
              <w:rPr>
                <w:rFonts w:ascii="Helvetica" w:hAnsi="Helvetica" w:cs="Helvetica"/>
                <w:color w:val="000000"/>
                <w:sz w:val="20"/>
                <w:szCs w:val="20"/>
                <w:shd w:val="clear" w:color="auto" w:fill="FFFFFF"/>
              </w:rPr>
              <w:t xml:space="preserve">It is the overall process of identifying, analysing, evaluating, consulting, communicating and planning the treatment of potential privacy impacts with regard to the processing of PII framed within an organization’s broader risk management framework.                        </w:t>
            </w:r>
            <w:r>
              <w:rPr>
                <w:rFonts w:ascii="Helvetica" w:hAnsi="Helvetica"/>
                <w:color w:val="000000"/>
                <w:sz w:val="20"/>
                <w:szCs w:val="20"/>
                <w:shd w:val="clear" w:color="auto" w:fill="FFFFFF"/>
              </w:rPr>
              <w:t>[from standard 29100, 3.18]</w:t>
            </w:r>
            <w:r>
              <w:rPr>
                <w:rFonts w:ascii="Helvetica" w:hAnsi="Helvetica" w:cs="Helvetica"/>
                <w:color w:val="000000"/>
                <w:sz w:val="20"/>
                <w:szCs w:val="20"/>
                <w:shd w:val="clear" w:color="auto" w:fill="FFFFFF"/>
              </w:rPr>
              <w:t xml:space="preserve">  </w:t>
            </w:r>
          </w:p>
        </w:tc>
      </w:tr>
      <w:tr w:rsidR="00ED0CC0" w14:paraId="79A5AE8B" w14:textId="77777777" w:rsidTr="00ED0CC0">
        <w:trPr>
          <w:trHeight w:val="1252"/>
        </w:trPr>
        <w:tc>
          <w:tcPr>
            <w:tcW w:w="1354" w:type="dxa"/>
            <w:vMerge/>
          </w:tcPr>
          <w:p w14:paraId="0B6479D2" w14:textId="77777777" w:rsidR="00ED0CC0" w:rsidRDefault="00ED0CC0" w:rsidP="00847D13"/>
        </w:tc>
        <w:tc>
          <w:tcPr>
            <w:tcW w:w="2202" w:type="dxa"/>
          </w:tcPr>
          <w:p w14:paraId="28A23226" w14:textId="788C40F6" w:rsidR="00ED0CC0" w:rsidRDefault="008F2BCE" w:rsidP="00847D13">
            <w:r>
              <w:t>A method to protect people's rights, and manage risks when handling personal information.</w:t>
            </w:r>
          </w:p>
        </w:tc>
        <w:tc>
          <w:tcPr>
            <w:tcW w:w="2457" w:type="dxa"/>
            <w:gridSpan w:val="2"/>
          </w:tcPr>
          <w:p w14:paraId="716AB2DE" w14:textId="1A7B58FD" w:rsidR="00ED0CC0" w:rsidRDefault="00ED0CC0" w:rsidP="00847D13">
            <w:r>
              <w:t>A process to identify and address potential privacy risks when handling personal information within an organization.</w:t>
            </w:r>
          </w:p>
        </w:tc>
        <w:tc>
          <w:tcPr>
            <w:tcW w:w="2584" w:type="dxa"/>
            <w:shd w:val="clear" w:color="auto" w:fill="auto"/>
          </w:tcPr>
          <w:p w14:paraId="255CF166" w14:textId="60F4D224" w:rsidR="00ED0CC0" w:rsidRDefault="00ED0CC0" w:rsidP="00847D13">
            <w:pPr>
              <w:rPr>
                <w:rFonts w:ascii="Helvetica" w:hAnsi="Helvetica" w:cs="Helvetica"/>
                <w:color w:val="000000"/>
                <w:sz w:val="20"/>
                <w:szCs w:val="20"/>
                <w:shd w:val="clear" w:color="auto" w:fill="FFFFFF"/>
              </w:rPr>
            </w:pPr>
            <w:r>
              <w:t>A process to identify and address potential privacy risks when handling personal information within an organization.</w:t>
            </w:r>
          </w:p>
        </w:tc>
      </w:tr>
      <w:tr w:rsidR="009F3C5D" w14:paraId="47456174" w14:textId="3BBCBE24" w:rsidTr="009F3C5D">
        <w:trPr>
          <w:trHeight w:val="2125"/>
        </w:trPr>
        <w:tc>
          <w:tcPr>
            <w:tcW w:w="1354" w:type="dxa"/>
            <w:vMerge w:val="restart"/>
          </w:tcPr>
          <w:p w14:paraId="41D53C27" w14:textId="3B8306DC" w:rsidR="009F3C5D" w:rsidRDefault="009F3C5D" w:rsidP="00847D13">
            <w:r>
              <w:lastRenderedPageBreak/>
              <w:t>SECONDARY USE</w:t>
            </w:r>
          </w:p>
        </w:tc>
        <w:tc>
          <w:tcPr>
            <w:tcW w:w="2202" w:type="dxa"/>
          </w:tcPr>
          <w:p w14:paraId="2C718C65" w14:textId="77777777" w:rsidR="009F3C5D" w:rsidRDefault="009F3C5D" w:rsidP="00847D13"/>
        </w:tc>
        <w:tc>
          <w:tcPr>
            <w:tcW w:w="2457" w:type="dxa"/>
            <w:gridSpan w:val="2"/>
          </w:tcPr>
          <w:p w14:paraId="1B23CB92" w14:textId="4A932D33" w:rsidR="009F3C5D" w:rsidRDefault="009F3C5D" w:rsidP="00847D13">
            <w:r>
              <w:t>Constitutes processing of personal information in conditions which differ from the primary use initially communicated to or agreed with the individual.</w:t>
            </w:r>
            <w:r w:rsidR="00264409">
              <w:t>(3.21)</w:t>
            </w:r>
          </w:p>
        </w:tc>
        <w:tc>
          <w:tcPr>
            <w:tcW w:w="2584" w:type="dxa"/>
            <w:shd w:val="clear" w:color="auto" w:fill="auto"/>
          </w:tcPr>
          <w:p w14:paraId="52D73016" w14:textId="45DCA990" w:rsidR="009F3C5D" w:rsidRDefault="009F3C5D" w:rsidP="00847D13">
            <w:r>
              <w:t xml:space="preserve">Use of data for additional purposes than the primary reason for their collection, adding value to this data. </w:t>
            </w:r>
            <w:r>
              <w:br/>
              <w:t>[from ISO/TR 22221:2006, definition 2.16(OBP)]</w:t>
            </w:r>
          </w:p>
        </w:tc>
      </w:tr>
      <w:tr w:rsidR="009F3C5D" w14:paraId="32336D9B" w14:textId="77777777" w:rsidTr="009F3C5D">
        <w:trPr>
          <w:trHeight w:val="489"/>
        </w:trPr>
        <w:tc>
          <w:tcPr>
            <w:tcW w:w="1354" w:type="dxa"/>
            <w:vMerge/>
          </w:tcPr>
          <w:p w14:paraId="714E3FB8" w14:textId="77777777" w:rsidR="009F3C5D" w:rsidRDefault="009F3C5D" w:rsidP="00847D13"/>
        </w:tc>
        <w:tc>
          <w:tcPr>
            <w:tcW w:w="2202" w:type="dxa"/>
          </w:tcPr>
          <w:p w14:paraId="61EF67F5" w14:textId="1604C93B" w:rsidR="009F3C5D" w:rsidRDefault="00264409" w:rsidP="00847D13">
            <w:r>
              <w:t>Not mentioned explicitly.</w:t>
            </w:r>
          </w:p>
        </w:tc>
        <w:tc>
          <w:tcPr>
            <w:tcW w:w="2457" w:type="dxa"/>
            <w:gridSpan w:val="2"/>
          </w:tcPr>
          <w:p w14:paraId="3874146C" w14:textId="5D8DECDD" w:rsidR="009F3C5D" w:rsidRDefault="009F3C5D" w:rsidP="00847D13">
            <w:r>
              <w:t>Secondary use is using personal data for purposes beyond what was originally agreed upon by the individual.</w:t>
            </w:r>
          </w:p>
        </w:tc>
        <w:tc>
          <w:tcPr>
            <w:tcW w:w="2584" w:type="dxa"/>
            <w:shd w:val="clear" w:color="auto" w:fill="auto"/>
          </w:tcPr>
          <w:p w14:paraId="584034B8" w14:textId="556E33A8" w:rsidR="009F3C5D" w:rsidRDefault="009F3C5D" w:rsidP="00847D13">
            <w:r>
              <w:t>Using the data collected for purposes beyond its original intent.</w:t>
            </w:r>
          </w:p>
        </w:tc>
      </w:tr>
      <w:tr w:rsidR="00264409" w14:paraId="3C456920" w14:textId="30C6847F" w:rsidTr="00264409">
        <w:tblPrEx>
          <w:tblLook w:val="0000" w:firstRow="0" w:lastRow="0" w:firstColumn="0" w:lastColumn="0" w:noHBand="0" w:noVBand="0"/>
        </w:tblPrEx>
        <w:trPr>
          <w:trHeight w:val="3848"/>
        </w:trPr>
        <w:tc>
          <w:tcPr>
            <w:tcW w:w="1354" w:type="dxa"/>
            <w:vMerge w:val="restart"/>
          </w:tcPr>
          <w:p w14:paraId="117B24F4" w14:textId="28115413" w:rsidR="00264409" w:rsidRDefault="00264409" w:rsidP="00847D13">
            <w:r>
              <w:t>Processing</w:t>
            </w:r>
          </w:p>
        </w:tc>
        <w:tc>
          <w:tcPr>
            <w:tcW w:w="2211" w:type="dxa"/>
            <w:gridSpan w:val="2"/>
          </w:tcPr>
          <w:p w14:paraId="210A0F5C" w14:textId="4A534ACC" w:rsidR="00264409" w:rsidRDefault="00264409" w:rsidP="00847D13">
            <w:r>
              <w:t>“Processing” in relation to personal data, means a wholly or partly automated operation or set of operations performed on digital personal data, and includes operations such as collection, recording, organisation, structuring, storage etc. (2.(x))</w:t>
            </w:r>
          </w:p>
        </w:tc>
        <w:tc>
          <w:tcPr>
            <w:tcW w:w="2448" w:type="dxa"/>
          </w:tcPr>
          <w:p w14:paraId="1CF66CE5" w14:textId="6478BC92" w:rsidR="00264409" w:rsidRDefault="00264409" w:rsidP="00847D13">
            <w:r>
              <w:t>Processing — Any operation or set of operations performed upon personal information, whether or not by automatic means.(3.18)</w:t>
            </w:r>
          </w:p>
        </w:tc>
        <w:tc>
          <w:tcPr>
            <w:tcW w:w="2584" w:type="dxa"/>
          </w:tcPr>
          <w:p w14:paraId="4AD5C3B1" w14:textId="326DE68C" w:rsidR="00264409" w:rsidRDefault="00264409" w:rsidP="00847D13">
            <w:r>
              <w:rPr>
                <w:rFonts w:ascii="Helvetica" w:hAnsi="Helvetica" w:cs="Helvetica"/>
                <w:color w:val="000000"/>
                <w:sz w:val="20"/>
                <w:szCs w:val="20"/>
                <w:shd w:val="clear" w:color="auto" w:fill="FFFFFF"/>
              </w:rPr>
              <w:t xml:space="preserve">It is an operation or set of operations performed upon PII.                      </w:t>
            </w:r>
            <w:r>
              <w:rPr>
                <w:rFonts w:ascii="Helvetica" w:hAnsi="Helvetica"/>
                <w:color w:val="000000"/>
                <w:sz w:val="20"/>
                <w:szCs w:val="20"/>
                <w:shd w:val="clear" w:color="auto" w:fill="FFFFFF"/>
              </w:rPr>
              <w:t>[from standard 29100, 3.21]</w:t>
            </w:r>
            <w:r>
              <w:rPr>
                <w:rFonts w:ascii="Helvetica" w:hAnsi="Helvetica" w:cs="Helvetica"/>
                <w:color w:val="000000"/>
                <w:sz w:val="20"/>
                <w:szCs w:val="20"/>
                <w:shd w:val="clear" w:color="auto" w:fill="FFFFFF"/>
              </w:rPr>
              <w:t xml:space="preserve">   </w:t>
            </w:r>
          </w:p>
        </w:tc>
      </w:tr>
      <w:tr w:rsidR="00264409" w14:paraId="17FE3D4E" w14:textId="77777777" w:rsidTr="00264409">
        <w:tblPrEx>
          <w:tblLook w:val="0000" w:firstRow="0" w:lastRow="0" w:firstColumn="0" w:lastColumn="0" w:noHBand="0" w:noVBand="0"/>
        </w:tblPrEx>
        <w:trPr>
          <w:trHeight w:val="1663"/>
        </w:trPr>
        <w:tc>
          <w:tcPr>
            <w:tcW w:w="1354" w:type="dxa"/>
            <w:vMerge/>
          </w:tcPr>
          <w:p w14:paraId="044C4E90" w14:textId="77777777" w:rsidR="00264409" w:rsidRDefault="00264409" w:rsidP="00847D13"/>
        </w:tc>
        <w:tc>
          <w:tcPr>
            <w:tcW w:w="2211" w:type="dxa"/>
            <w:gridSpan w:val="2"/>
          </w:tcPr>
          <w:p w14:paraId="7E6EAE58" w14:textId="34742F3B" w:rsidR="00264409" w:rsidRDefault="00264409" w:rsidP="00847D13">
            <w:r>
              <w:t>Processing is any action performed on digital personal data.</w:t>
            </w:r>
          </w:p>
        </w:tc>
        <w:tc>
          <w:tcPr>
            <w:tcW w:w="2448" w:type="dxa"/>
          </w:tcPr>
          <w:p w14:paraId="77236378" w14:textId="6952B5D8" w:rsidR="00264409" w:rsidRDefault="00264409" w:rsidP="00847D13">
            <w:r>
              <w:t>Processing is any action performed on digital personal information.</w:t>
            </w:r>
          </w:p>
        </w:tc>
        <w:tc>
          <w:tcPr>
            <w:tcW w:w="2584" w:type="dxa"/>
          </w:tcPr>
          <w:p w14:paraId="23ABFC64" w14:textId="6F8FDB59" w:rsidR="00264409" w:rsidRDefault="00264409" w:rsidP="00847D13">
            <w:r>
              <w:t>Processing is any action performed on PII.</w:t>
            </w:r>
          </w:p>
        </w:tc>
      </w:tr>
      <w:tr w:rsidR="00A46323" w14:paraId="7DBEC56C" w14:textId="426CC49D" w:rsidTr="003A732E">
        <w:tblPrEx>
          <w:tblLook w:val="0000" w:firstRow="0" w:lastRow="0" w:firstColumn="0" w:lastColumn="0" w:noHBand="0" w:noVBand="0"/>
        </w:tblPrEx>
        <w:trPr>
          <w:trHeight w:val="850"/>
        </w:trPr>
        <w:tc>
          <w:tcPr>
            <w:tcW w:w="1354" w:type="dxa"/>
          </w:tcPr>
          <w:p w14:paraId="06B58BBF" w14:textId="1FE5B7C0" w:rsidR="00A46323" w:rsidRPr="00A46323" w:rsidRDefault="00284240" w:rsidP="00847D13">
            <w:pPr>
              <w:rPr>
                <w:b/>
                <w:bCs/>
              </w:rPr>
            </w:pPr>
            <w:r>
              <w:rPr>
                <w:b/>
                <w:bCs/>
              </w:rPr>
              <w:t>REQUIREMEN</w:t>
            </w:r>
            <w:bookmarkStart w:id="0" w:name="_GoBack"/>
            <w:bookmarkEnd w:id="0"/>
            <w:r w:rsidR="00A46323">
              <w:rPr>
                <w:b/>
                <w:bCs/>
              </w:rPr>
              <w:t>TS</w:t>
            </w:r>
          </w:p>
        </w:tc>
        <w:tc>
          <w:tcPr>
            <w:tcW w:w="2211" w:type="dxa"/>
            <w:gridSpan w:val="2"/>
          </w:tcPr>
          <w:p w14:paraId="34B0764D" w14:textId="77777777" w:rsidR="00A46323" w:rsidRDefault="00A46323" w:rsidP="00847D13"/>
        </w:tc>
        <w:tc>
          <w:tcPr>
            <w:tcW w:w="2448" w:type="dxa"/>
          </w:tcPr>
          <w:p w14:paraId="0D72DD28" w14:textId="77777777" w:rsidR="00A46323" w:rsidRDefault="00A46323" w:rsidP="00847D13"/>
        </w:tc>
        <w:tc>
          <w:tcPr>
            <w:tcW w:w="2584" w:type="dxa"/>
          </w:tcPr>
          <w:p w14:paraId="61BF898F" w14:textId="77777777" w:rsidR="00A46323" w:rsidRDefault="00A46323" w:rsidP="00847D13"/>
        </w:tc>
      </w:tr>
      <w:tr w:rsidR="00A46323" w14:paraId="21986EF3" w14:textId="77777777" w:rsidTr="003A732E">
        <w:tblPrEx>
          <w:tblLook w:val="0000" w:firstRow="0" w:lastRow="0" w:firstColumn="0" w:lastColumn="0" w:noHBand="0" w:noVBand="0"/>
        </w:tblPrEx>
        <w:trPr>
          <w:trHeight w:val="848"/>
        </w:trPr>
        <w:tc>
          <w:tcPr>
            <w:tcW w:w="1354" w:type="dxa"/>
          </w:tcPr>
          <w:p w14:paraId="0E30A61C" w14:textId="393D26E7" w:rsidR="00A46323" w:rsidRDefault="00A46323" w:rsidP="00847D13">
            <w:r>
              <w:t>a) CONSENT &amp; NOTICE -</w:t>
            </w:r>
          </w:p>
        </w:tc>
        <w:tc>
          <w:tcPr>
            <w:tcW w:w="2211" w:type="dxa"/>
            <w:gridSpan w:val="2"/>
          </w:tcPr>
          <w:p w14:paraId="7B613A03" w14:textId="77777777" w:rsidR="00A46323" w:rsidRDefault="00A46323" w:rsidP="00847D13"/>
        </w:tc>
        <w:tc>
          <w:tcPr>
            <w:tcW w:w="2448" w:type="dxa"/>
          </w:tcPr>
          <w:p w14:paraId="5BFB8DFC" w14:textId="77777777" w:rsidR="00A46323" w:rsidRDefault="00A46323" w:rsidP="00847D13"/>
        </w:tc>
        <w:tc>
          <w:tcPr>
            <w:tcW w:w="2584" w:type="dxa"/>
          </w:tcPr>
          <w:p w14:paraId="5C82D0FD" w14:textId="77777777" w:rsidR="00A46323" w:rsidRDefault="00A46323" w:rsidP="00847D13"/>
        </w:tc>
      </w:tr>
      <w:tr w:rsidR="00A46323" w14:paraId="09242A01" w14:textId="77777777" w:rsidTr="003A732E">
        <w:tblPrEx>
          <w:tblLook w:val="0000" w:firstRow="0" w:lastRow="0" w:firstColumn="0" w:lastColumn="0" w:noHBand="0" w:noVBand="0"/>
        </w:tblPrEx>
        <w:trPr>
          <w:trHeight w:val="388"/>
        </w:trPr>
        <w:tc>
          <w:tcPr>
            <w:tcW w:w="1354" w:type="dxa"/>
          </w:tcPr>
          <w:p w14:paraId="2A635CCB" w14:textId="162A237F" w:rsidR="00A46323" w:rsidRDefault="00A46323" w:rsidP="00847D13">
            <w:r>
              <w:t>ii) CONSENT REQUIREMENT</w:t>
            </w:r>
          </w:p>
        </w:tc>
        <w:tc>
          <w:tcPr>
            <w:tcW w:w="2211" w:type="dxa"/>
            <w:gridSpan w:val="2"/>
          </w:tcPr>
          <w:p w14:paraId="40EBAE10" w14:textId="052BA6FA" w:rsidR="00A46323" w:rsidRDefault="00A46323" w:rsidP="00847D13">
            <w:r>
              <w:t>Free, specific, informed, unconditional, unambiguous</w:t>
            </w:r>
            <w:r w:rsidR="000534F4">
              <w:t>. (6.(1)</w:t>
            </w:r>
            <w:r w:rsidR="00BF69A0">
              <w:t xml:space="preserve">, </w:t>
            </w:r>
            <w:proofErr w:type="spellStart"/>
            <w:r w:rsidR="00BF69A0">
              <w:t>pg</w:t>
            </w:r>
            <w:proofErr w:type="spellEnd"/>
            <w:r w:rsidR="00BF69A0">
              <w:t xml:space="preserve"> no. 5</w:t>
            </w:r>
            <w:r w:rsidR="000534F4">
              <w:t>)</w:t>
            </w:r>
            <w:r w:rsidR="00EE1D3B">
              <w:t xml:space="preserve"> </w:t>
            </w:r>
          </w:p>
        </w:tc>
        <w:tc>
          <w:tcPr>
            <w:tcW w:w="2448" w:type="dxa"/>
          </w:tcPr>
          <w:p w14:paraId="2C817F3E" w14:textId="19BBE299" w:rsidR="00A46323" w:rsidRDefault="00A46323" w:rsidP="00847D13">
            <w:r>
              <w:t>When consent is the lawful basis, obtain lawful and fair consent</w:t>
            </w:r>
            <w:r w:rsidR="000534F4">
              <w:t>.(4.2.3)</w:t>
            </w:r>
          </w:p>
        </w:tc>
        <w:tc>
          <w:tcPr>
            <w:tcW w:w="2584" w:type="dxa"/>
          </w:tcPr>
          <w:p w14:paraId="7EFB48C8" w14:textId="651CFB84" w:rsidR="00A46323" w:rsidRDefault="00CB2916" w:rsidP="00847D13">
            <w:r>
              <w:t>Specific to purpose</w:t>
            </w:r>
            <w:r w:rsidR="00EE6A30">
              <w:t xml:space="preserve">            ( B.1.2.4) </w:t>
            </w:r>
            <w:r>
              <w:t xml:space="preserve"> </w:t>
            </w:r>
            <w:r w:rsidR="00EE6A30">
              <w:t xml:space="preserve"> and it should be according to the documented process </w:t>
            </w:r>
            <w:r w:rsidR="00EE6A30">
              <w:br/>
              <w:t>(Pg no. 16)</w:t>
            </w:r>
          </w:p>
        </w:tc>
      </w:tr>
      <w:tr w:rsidR="00A46323" w14:paraId="5521A819" w14:textId="77777777" w:rsidTr="003A732E">
        <w:tblPrEx>
          <w:tblLook w:val="0000" w:firstRow="0" w:lastRow="0" w:firstColumn="0" w:lastColumn="0" w:noHBand="0" w:noVBand="0"/>
        </w:tblPrEx>
        <w:trPr>
          <w:trHeight w:val="1032"/>
        </w:trPr>
        <w:tc>
          <w:tcPr>
            <w:tcW w:w="1354" w:type="dxa"/>
          </w:tcPr>
          <w:p w14:paraId="14D4AAA2" w14:textId="7579C8F4" w:rsidR="00A46323" w:rsidRDefault="00A46323" w:rsidP="00847D13">
            <w:r>
              <w:t>ii) NOTICE REQUIREMENTS</w:t>
            </w:r>
          </w:p>
        </w:tc>
        <w:tc>
          <w:tcPr>
            <w:tcW w:w="2211" w:type="dxa"/>
            <w:gridSpan w:val="2"/>
          </w:tcPr>
          <w:p w14:paraId="3DA2D38E" w14:textId="14CF89AA" w:rsidR="00A46323" w:rsidRDefault="00A46323" w:rsidP="00847D13">
            <w:r>
              <w:t xml:space="preserve">Clear notice with specified </w:t>
            </w:r>
            <w:r w:rsidR="00CB2916">
              <w:t>purpose</w:t>
            </w:r>
            <w:r w:rsidR="00965AA9">
              <w:t xml:space="preserve"> and content (5.(1)</w:t>
            </w:r>
            <w:r w:rsidR="00BF69A0">
              <w:t xml:space="preserve">, </w:t>
            </w:r>
            <w:proofErr w:type="spellStart"/>
            <w:r w:rsidR="00BF69A0">
              <w:t>pg</w:t>
            </w:r>
            <w:proofErr w:type="spellEnd"/>
            <w:r w:rsidR="00BF69A0">
              <w:t xml:space="preserve"> no. 4</w:t>
            </w:r>
            <w:r w:rsidR="00965AA9">
              <w:t>)</w:t>
            </w:r>
          </w:p>
        </w:tc>
        <w:tc>
          <w:tcPr>
            <w:tcW w:w="2448" w:type="dxa"/>
          </w:tcPr>
          <w:p w14:paraId="2A9ACC19" w14:textId="4122DBAC" w:rsidR="00A46323" w:rsidRDefault="00A46323" w:rsidP="00847D13">
            <w:r>
              <w:t>Privacy notice with specified content</w:t>
            </w:r>
            <w:r w:rsidR="00CB2916">
              <w:t xml:space="preserve"> (4.2.2)</w:t>
            </w:r>
          </w:p>
        </w:tc>
        <w:tc>
          <w:tcPr>
            <w:tcW w:w="2584" w:type="dxa"/>
          </w:tcPr>
          <w:p w14:paraId="0F94A8F0" w14:textId="6F4DA24C" w:rsidR="00A46323" w:rsidRDefault="00CE230F" w:rsidP="00847D13">
            <w:r>
              <w:t xml:space="preserve">The organization shall provide PII principals with clear and easily accessible information (notice) identifying the PII controller and describing </w:t>
            </w:r>
            <w:r>
              <w:lastRenderedPageBreak/>
              <w:t>the processing of their PII</w:t>
            </w:r>
            <w:r>
              <w:br/>
              <w:t>(A.1.3.4, Pg no. 17)</w:t>
            </w:r>
          </w:p>
        </w:tc>
      </w:tr>
      <w:tr w:rsidR="00A46323" w14:paraId="53312478" w14:textId="628BCA3D" w:rsidTr="003A732E">
        <w:tblPrEx>
          <w:tblLook w:val="0000" w:firstRow="0" w:lastRow="0" w:firstColumn="0" w:lastColumn="0" w:noHBand="0" w:noVBand="0"/>
        </w:tblPrEx>
        <w:trPr>
          <w:trHeight w:val="692"/>
        </w:trPr>
        <w:tc>
          <w:tcPr>
            <w:tcW w:w="1354" w:type="dxa"/>
          </w:tcPr>
          <w:p w14:paraId="474F95C3" w14:textId="6C799A57" w:rsidR="00A46323" w:rsidRDefault="00A46323" w:rsidP="00847D13">
            <w:r>
              <w:lastRenderedPageBreak/>
              <w:t>iii) Language</w:t>
            </w:r>
          </w:p>
        </w:tc>
        <w:tc>
          <w:tcPr>
            <w:tcW w:w="2211" w:type="dxa"/>
            <w:gridSpan w:val="2"/>
          </w:tcPr>
          <w:p w14:paraId="0ECA4D7F" w14:textId="0C801239" w:rsidR="00A46323" w:rsidRDefault="00A46323" w:rsidP="00847D13">
            <w:r>
              <w:t>Option to access in English or languages in 8th Schedule</w:t>
            </w:r>
            <w:r w:rsidR="00CE230F">
              <w:br/>
            </w:r>
            <w:r w:rsidR="00BF69A0">
              <w:t>(</w:t>
            </w:r>
            <w:proofErr w:type="spellStart"/>
            <w:r w:rsidR="00BF69A0">
              <w:t>pg</w:t>
            </w:r>
            <w:proofErr w:type="spellEnd"/>
            <w:r w:rsidR="00BF69A0">
              <w:t xml:space="preserve"> no. 5)</w:t>
            </w:r>
          </w:p>
        </w:tc>
        <w:tc>
          <w:tcPr>
            <w:tcW w:w="2448" w:type="dxa"/>
          </w:tcPr>
          <w:p w14:paraId="2056E70D" w14:textId="40FF28D9" w:rsidR="00A46323" w:rsidRDefault="00A46323" w:rsidP="00847D13">
            <w:r>
              <w:t>Not Specified</w:t>
            </w:r>
            <w:r w:rsidR="00CB2916">
              <w:t>.</w:t>
            </w:r>
          </w:p>
        </w:tc>
        <w:tc>
          <w:tcPr>
            <w:tcW w:w="2584" w:type="dxa"/>
          </w:tcPr>
          <w:p w14:paraId="27DA6ADE" w14:textId="71CC4FDB" w:rsidR="00A46323" w:rsidRDefault="00CE230F" w:rsidP="00847D13">
            <w:r>
              <w:t>Clear and plain language can be used.</w:t>
            </w:r>
            <w:r>
              <w:br/>
              <w:t>(B.1.3.4)</w:t>
            </w:r>
          </w:p>
        </w:tc>
      </w:tr>
      <w:tr w:rsidR="00040151" w14:paraId="4C6807D7" w14:textId="77777777" w:rsidTr="003A732E">
        <w:tblPrEx>
          <w:tblLook w:val="0000" w:firstRow="0" w:lastRow="0" w:firstColumn="0" w:lastColumn="0" w:noHBand="0" w:noVBand="0"/>
        </w:tblPrEx>
        <w:trPr>
          <w:trHeight w:val="590"/>
        </w:trPr>
        <w:tc>
          <w:tcPr>
            <w:tcW w:w="1354" w:type="dxa"/>
          </w:tcPr>
          <w:p w14:paraId="3A1A0784" w14:textId="6082556B" w:rsidR="00040151" w:rsidRDefault="00040151" w:rsidP="00847D13">
            <w:r>
              <w:t>b) DATA COLLECTION AND USE</w:t>
            </w:r>
          </w:p>
        </w:tc>
        <w:tc>
          <w:tcPr>
            <w:tcW w:w="2211" w:type="dxa"/>
            <w:gridSpan w:val="2"/>
          </w:tcPr>
          <w:p w14:paraId="139F344A" w14:textId="77777777" w:rsidR="00040151" w:rsidRDefault="00040151" w:rsidP="00847D13"/>
        </w:tc>
        <w:tc>
          <w:tcPr>
            <w:tcW w:w="2448" w:type="dxa"/>
          </w:tcPr>
          <w:p w14:paraId="5DA5AC7C" w14:textId="77777777" w:rsidR="00040151" w:rsidRDefault="00040151" w:rsidP="00847D13"/>
        </w:tc>
        <w:tc>
          <w:tcPr>
            <w:tcW w:w="2584" w:type="dxa"/>
          </w:tcPr>
          <w:p w14:paraId="37D6F454" w14:textId="77777777" w:rsidR="00040151" w:rsidRDefault="00040151" w:rsidP="00847D13"/>
        </w:tc>
      </w:tr>
      <w:tr w:rsidR="00040151" w14:paraId="7528F951" w14:textId="77777777" w:rsidTr="003A732E">
        <w:tblPrEx>
          <w:tblLook w:val="0000" w:firstRow="0" w:lastRow="0" w:firstColumn="0" w:lastColumn="0" w:noHBand="0" w:noVBand="0"/>
        </w:tblPrEx>
        <w:trPr>
          <w:trHeight w:val="121"/>
        </w:trPr>
        <w:tc>
          <w:tcPr>
            <w:tcW w:w="1354" w:type="dxa"/>
          </w:tcPr>
          <w:p w14:paraId="1ACB6530" w14:textId="078D7880" w:rsidR="00040151" w:rsidRDefault="005427D7" w:rsidP="00847D13">
            <w:proofErr w:type="spellStart"/>
            <w:r>
              <w:t>i</w:t>
            </w:r>
            <w:proofErr w:type="spellEnd"/>
            <w:r>
              <w:t xml:space="preserve">) </w:t>
            </w:r>
            <w:r w:rsidR="00040151">
              <w:t>PURPOSE LIMITATION</w:t>
            </w:r>
          </w:p>
        </w:tc>
        <w:tc>
          <w:tcPr>
            <w:tcW w:w="2211" w:type="dxa"/>
            <w:gridSpan w:val="2"/>
          </w:tcPr>
          <w:p w14:paraId="07F5AD98" w14:textId="23D76449" w:rsidR="00040151" w:rsidRDefault="00040151" w:rsidP="00847D13">
            <w:r>
              <w:t>Specified purpose.</w:t>
            </w:r>
            <w:r w:rsidR="00FF7FDE">
              <w:br/>
              <w:t>(6.(1)</w:t>
            </w:r>
            <w:r w:rsidR="00BF69A0">
              <w:t xml:space="preserve">, </w:t>
            </w:r>
            <w:proofErr w:type="spellStart"/>
            <w:r w:rsidR="00BF69A0">
              <w:t>pg</w:t>
            </w:r>
            <w:proofErr w:type="spellEnd"/>
            <w:r w:rsidR="00BF69A0">
              <w:t xml:space="preserve"> no. 5</w:t>
            </w:r>
            <w:r w:rsidR="00FF7FDE">
              <w:t>)</w:t>
            </w:r>
          </w:p>
        </w:tc>
        <w:tc>
          <w:tcPr>
            <w:tcW w:w="2448" w:type="dxa"/>
          </w:tcPr>
          <w:p w14:paraId="77115ACF" w14:textId="01EE3660" w:rsidR="00040151" w:rsidRDefault="00040151" w:rsidP="00847D13">
            <w:r>
              <w:t>Use only for legitimate and agreed purposes</w:t>
            </w:r>
            <w:r w:rsidR="00965AA9">
              <w:t xml:space="preserve"> (4.2.4)</w:t>
            </w:r>
          </w:p>
        </w:tc>
        <w:tc>
          <w:tcPr>
            <w:tcW w:w="2584" w:type="dxa"/>
          </w:tcPr>
          <w:p w14:paraId="6FD5B90C" w14:textId="696F2006" w:rsidR="00040151" w:rsidRDefault="00E632E4" w:rsidP="00847D13">
            <w:r>
              <w:t>The organization must process personal data only for purposes explicitly specified by the customer in their documented instructions. (B.2.2.3)</w:t>
            </w:r>
          </w:p>
        </w:tc>
      </w:tr>
      <w:tr w:rsidR="00040151" w14:paraId="7282B84D" w14:textId="77777777" w:rsidTr="003A732E">
        <w:tblPrEx>
          <w:tblLook w:val="0000" w:firstRow="0" w:lastRow="0" w:firstColumn="0" w:lastColumn="0" w:noHBand="0" w:noVBand="0"/>
        </w:tblPrEx>
        <w:trPr>
          <w:trHeight w:val="639"/>
        </w:trPr>
        <w:tc>
          <w:tcPr>
            <w:tcW w:w="1354" w:type="dxa"/>
          </w:tcPr>
          <w:p w14:paraId="7F548F2D" w14:textId="36665692" w:rsidR="00040151" w:rsidRDefault="004E64B2" w:rsidP="00847D13">
            <w:r>
              <w:t>c) DATA SECURITY</w:t>
            </w:r>
          </w:p>
        </w:tc>
        <w:tc>
          <w:tcPr>
            <w:tcW w:w="2211" w:type="dxa"/>
            <w:gridSpan w:val="2"/>
          </w:tcPr>
          <w:p w14:paraId="6A05B897" w14:textId="3B5A6F9B" w:rsidR="00040151" w:rsidRPr="00E632E4" w:rsidRDefault="004E64B2" w:rsidP="00847D13">
            <w:pPr>
              <w:rPr>
                <w:sz w:val="20"/>
                <w:szCs w:val="20"/>
              </w:rPr>
            </w:pPr>
            <w:r w:rsidRPr="00E632E4">
              <w:rPr>
                <w:sz w:val="20"/>
                <w:szCs w:val="20"/>
              </w:rPr>
              <w:t>Implement reasonable security safeguards</w:t>
            </w:r>
            <w:r w:rsidR="00E632E4" w:rsidRPr="00E632E4">
              <w:rPr>
                <w:sz w:val="20"/>
                <w:szCs w:val="20"/>
              </w:rPr>
              <w:t xml:space="preserve"> (the schedule - table)</w:t>
            </w:r>
          </w:p>
        </w:tc>
        <w:tc>
          <w:tcPr>
            <w:tcW w:w="2448" w:type="dxa"/>
          </w:tcPr>
          <w:p w14:paraId="788773CF" w14:textId="476A8D81" w:rsidR="00040151" w:rsidRDefault="004E64B2" w:rsidP="00847D13">
            <w:r>
              <w:t>Adopt and implement information security program</w:t>
            </w:r>
            <w:r w:rsidR="00E632E4">
              <w:t xml:space="preserve"> (4.2.6)</w:t>
            </w:r>
          </w:p>
        </w:tc>
        <w:tc>
          <w:tcPr>
            <w:tcW w:w="2584" w:type="dxa"/>
          </w:tcPr>
          <w:p w14:paraId="7F72CF2C" w14:textId="5685B239" w:rsidR="00040151" w:rsidRDefault="004E64B2" w:rsidP="00847D13">
            <w:r>
              <w:t>Requires appropriate security controls</w:t>
            </w:r>
            <w:r w:rsidR="00E632E4">
              <w:t xml:space="preserve"> (6.1.3 ©)</w:t>
            </w:r>
          </w:p>
        </w:tc>
      </w:tr>
      <w:tr w:rsidR="00847D13" w14:paraId="009AED49" w14:textId="1C1621D1" w:rsidTr="003A732E">
        <w:tblPrEx>
          <w:tblLook w:val="0000" w:firstRow="0" w:lastRow="0" w:firstColumn="0" w:lastColumn="0" w:noHBand="0" w:noVBand="0"/>
        </w:tblPrEx>
        <w:trPr>
          <w:trHeight w:val="228"/>
        </w:trPr>
        <w:tc>
          <w:tcPr>
            <w:tcW w:w="1354" w:type="dxa"/>
          </w:tcPr>
          <w:p w14:paraId="00135470" w14:textId="0401814D" w:rsidR="00847D13" w:rsidRDefault="001275A7" w:rsidP="00C84DBF">
            <w:r>
              <w:t>d</w:t>
            </w:r>
            <w:r w:rsidR="00C84DBF">
              <w:t>)ACCOUNTABILITY</w:t>
            </w:r>
            <w:r w:rsidR="00E37076">
              <w:t xml:space="preserve"> (taking </w:t>
            </w:r>
            <w:proofErr w:type="spellStart"/>
            <w:r w:rsidR="00E37076">
              <w:t>responsibilit</w:t>
            </w:r>
            <w:proofErr w:type="spellEnd"/>
            <w:r w:rsidR="00E37076">
              <w:t xml:space="preserve">-y to </w:t>
            </w:r>
            <w:proofErr w:type="spellStart"/>
            <w:r w:rsidR="00E37076">
              <w:t>demonstrat</w:t>
            </w:r>
            <w:proofErr w:type="spellEnd"/>
            <w:r w:rsidR="00E37076">
              <w:t>-e data protection principles)</w:t>
            </w:r>
          </w:p>
        </w:tc>
        <w:tc>
          <w:tcPr>
            <w:tcW w:w="2211" w:type="dxa"/>
            <w:gridSpan w:val="2"/>
          </w:tcPr>
          <w:p w14:paraId="31C11C13" w14:textId="64FA78FC" w:rsidR="00847D13" w:rsidRDefault="00E37076" w:rsidP="00847D13">
            <w:r>
              <w:t>Data Fiduciary processes the personal data of a Data Principal only in accordance with the provisions of this Act and for a lawful purpose (4.(1)</w:t>
            </w:r>
            <w:r w:rsidR="00BF69A0">
              <w:t xml:space="preserve">, </w:t>
            </w:r>
            <w:proofErr w:type="spellStart"/>
            <w:r w:rsidR="00BF69A0">
              <w:t>pg</w:t>
            </w:r>
            <w:proofErr w:type="spellEnd"/>
            <w:r w:rsidR="00BF69A0">
              <w:t xml:space="preserve"> no. 4</w:t>
            </w:r>
            <w:r>
              <w:t>)</w:t>
            </w:r>
          </w:p>
        </w:tc>
        <w:tc>
          <w:tcPr>
            <w:tcW w:w="2448" w:type="dxa"/>
          </w:tcPr>
          <w:p w14:paraId="2B46184E" w14:textId="12746F66" w:rsidR="00847D13" w:rsidRDefault="00E85454" w:rsidP="00847D13">
            <w:r>
              <w:t>Establish and document a Data Privacy Management System (DPMS) that acts as a baseline and reference point for determining the data privacy requirements for the organization</w:t>
            </w:r>
            <w:r w:rsidR="00E37076">
              <w:t xml:space="preserve"> (5.3)</w:t>
            </w:r>
          </w:p>
        </w:tc>
        <w:tc>
          <w:tcPr>
            <w:tcW w:w="2584" w:type="dxa"/>
          </w:tcPr>
          <w:p w14:paraId="181C12D0" w14:textId="5AA40CD0" w:rsidR="00847D13" w:rsidRDefault="00E85454" w:rsidP="00847D13">
            <w:r>
              <w:t>Assigns responsibility and authority for ensuring PIMS conformity and performance reporting to top management</w:t>
            </w:r>
            <w:r w:rsidR="00E37076">
              <w:t xml:space="preserve"> (5.3)</w:t>
            </w:r>
          </w:p>
        </w:tc>
      </w:tr>
      <w:tr w:rsidR="00847D13" w14:paraId="18ED9516" w14:textId="77777777" w:rsidTr="003A732E">
        <w:tblPrEx>
          <w:tblLook w:val="0000" w:firstRow="0" w:lastRow="0" w:firstColumn="0" w:lastColumn="0" w:noHBand="0" w:noVBand="0"/>
        </w:tblPrEx>
        <w:trPr>
          <w:trHeight w:val="288"/>
        </w:trPr>
        <w:tc>
          <w:tcPr>
            <w:tcW w:w="1354" w:type="dxa"/>
          </w:tcPr>
          <w:p w14:paraId="798B0EDE" w14:textId="5C5B9752" w:rsidR="00847D13" w:rsidRDefault="00E85454" w:rsidP="00847D13">
            <w:r>
              <w:t>e) RISK MANAGEMENT</w:t>
            </w:r>
          </w:p>
        </w:tc>
        <w:tc>
          <w:tcPr>
            <w:tcW w:w="2211" w:type="dxa"/>
            <w:gridSpan w:val="2"/>
          </w:tcPr>
          <w:p w14:paraId="66C65621" w14:textId="538D79C5" w:rsidR="00847D13" w:rsidRDefault="00BF69A0" w:rsidP="00847D13">
            <w:r>
              <w:t xml:space="preserve">Requirements for Data Protection Impact Assessments and periodic audits     ( 2©, </w:t>
            </w:r>
            <w:proofErr w:type="spellStart"/>
            <w:r>
              <w:t>pg</w:t>
            </w:r>
            <w:proofErr w:type="spellEnd"/>
            <w:r>
              <w:t xml:space="preserve"> no. 9)</w:t>
            </w:r>
          </w:p>
        </w:tc>
        <w:tc>
          <w:tcPr>
            <w:tcW w:w="2448" w:type="dxa"/>
          </w:tcPr>
          <w:p w14:paraId="61E31703" w14:textId="25A25BBF" w:rsidR="00847D13" w:rsidRDefault="00E85454" w:rsidP="00847D13">
            <w:r>
              <w:t>Establish privacy risk management methodology</w:t>
            </w:r>
            <w:r w:rsidR="001275A7">
              <w:t xml:space="preserve"> (5.8)</w:t>
            </w:r>
          </w:p>
        </w:tc>
        <w:tc>
          <w:tcPr>
            <w:tcW w:w="2584" w:type="dxa"/>
          </w:tcPr>
          <w:p w14:paraId="7570BBF0" w14:textId="722BE829" w:rsidR="00E85454" w:rsidRDefault="00E85454" w:rsidP="00E85454">
            <w:r>
              <w:t>E</w:t>
            </w:r>
            <w:r w:rsidRPr="00E85454">
              <w:t>stablishes and maintains privacy risk criteria</w:t>
            </w:r>
            <w:r>
              <w:t xml:space="preserve"> and the organization shall define and apply a privacy risk treatment process to treat risks related to the</w:t>
            </w:r>
          </w:p>
          <w:p w14:paraId="5FF6C4ED" w14:textId="39BA5C0C" w:rsidR="00847D13" w:rsidRDefault="00E85454" w:rsidP="00E85454">
            <w:r>
              <w:t>processing of PII</w:t>
            </w:r>
            <w:r w:rsidR="001275A7">
              <w:t xml:space="preserve"> (6.1.2)</w:t>
            </w:r>
          </w:p>
        </w:tc>
      </w:tr>
      <w:tr w:rsidR="00847D13" w14:paraId="30DBCCE6" w14:textId="77777777" w:rsidTr="003A732E">
        <w:tblPrEx>
          <w:tblLook w:val="0000" w:firstRow="0" w:lastRow="0" w:firstColumn="0" w:lastColumn="0" w:noHBand="0" w:noVBand="0"/>
        </w:tblPrEx>
        <w:trPr>
          <w:trHeight w:val="312"/>
        </w:trPr>
        <w:tc>
          <w:tcPr>
            <w:tcW w:w="1354" w:type="dxa"/>
          </w:tcPr>
          <w:p w14:paraId="58A89406" w14:textId="1D3433A4" w:rsidR="00847D13" w:rsidRDefault="005023ED" w:rsidP="00847D13">
            <w:r>
              <w:t>f) CONTINOUS IMPROVEM-ENT</w:t>
            </w:r>
          </w:p>
        </w:tc>
        <w:tc>
          <w:tcPr>
            <w:tcW w:w="2211" w:type="dxa"/>
            <w:gridSpan w:val="2"/>
          </w:tcPr>
          <w:p w14:paraId="564397A6" w14:textId="31CC8353" w:rsidR="00847D13" w:rsidRDefault="001275A7" w:rsidP="00847D13">
            <w:r>
              <w:t>Not Specified.</w:t>
            </w:r>
          </w:p>
        </w:tc>
        <w:tc>
          <w:tcPr>
            <w:tcW w:w="2448" w:type="dxa"/>
          </w:tcPr>
          <w:p w14:paraId="7A1DA39A" w14:textId="0FB9A45C" w:rsidR="00847D13" w:rsidRDefault="005023ED" w:rsidP="00847D13">
            <w:r>
              <w:t>Implement a documented process for measuring and continuously improving the DPMS</w:t>
            </w:r>
            <w:r w:rsidR="001275A7">
              <w:t>(5.15)</w:t>
            </w:r>
          </w:p>
        </w:tc>
        <w:tc>
          <w:tcPr>
            <w:tcW w:w="2584" w:type="dxa"/>
          </w:tcPr>
          <w:p w14:paraId="5E1A4527" w14:textId="293300DF" w:rsidR="00847D13" w:rsidRDefault="00E85454" w:rsidP="00E85454">
            <w:r>
              <w:t>The organization is required to continually improve the suitability, adequacy and effectiveness of the privacy information management system</w:t>
            </w:r>
            <w:r w:rsidR="001275A7">
              <w:t xml:space="preserve"> (10.1)</w:t>
            </w:r>
          </w:p>
        </w:tc>
      </w:tr>
    </w:tbl>
    <w:p w14:paraId="412A0389" w14:textId="77777777" w:rsidR="00FD239C" w:rsidRDefault="00FD239C"/>
    <w:sectPr w:rsidR="00FD23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36C0"/>
    <w:multiLevelType w:val="hybridMultilevel"/>
    <w:tmpl w:val="3A4859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E5060C"/>
    <w:multiLevelType w:val="hybridMultilevel"/>
    <w:tmpl w:val="5AF00280"/>
    <w:lvl w:ilvl="0" w:tplc="82883C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FF191C"/>
    <w:multiLevelType w:val="hybridMultilevel"/>
    <w:tmpl w:val="7D1C0FB4"/>
    <w:lvl w:ilvl="0" w:tplc="B7E2DF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5B66E0"/>
    <w:multiLevelType w:val="hybridMultilevel"/>
    <w:tmpl w:val="416E834C"/>
    <w:lvl w:ilvl="0" w:tplc="F7482E9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F7"/>
    <w:rsid w:val="00040151"/>
    <w:rsid w:val="000534F4"/>
    <w:rsid w:val="0009795D"/>
    <w:rsid w:val="000A6940"/>
    <w:rsid w:val="001275A7"/>
    <w:rsid w:val="00150A39"/>
    <w:rsid w:val="00264409"/>
    <w:rsid w:val="00271480"/>
    <w:rsid w:val="00284240"/>
    <w:rsid w:val="00385135"/>
    <w:rsid w:val="003A732E"/>
    <w:rsid w:val="00431787"/>
    <w:rsid w:val="00481D9B"/>
    <w:rsid w:val="004E64B2"/>
    <w:rsid w:val="005023ED"/>
    <w:rsid w:val="00522C89"/>
    <w:rsid w:val="005427D7"/>
    <w:rsid w:val="005C1C4F"/>
    <w:rsid w:val="005E74FF"/>
    <w:rsid w:val="006700E2"/>
    <w:rsid w:val="00702516"/>
    <w:rsid w:val="00767A40"/>
    <w:rsid w:val="00794209"/>
    <w:rsid w:val="007E748B"/>
    <w:rsid w:val="00847D13"/>
    <w:rsid w:val="008D6E87"/>
    <w:rsid w:val="008F0B8B"/>
    <w:rsid w:val="008F2BCE"/>
    <w:rsid w:val="009231C7"/>
    <w:rsid w:val="00952FBD"/>
    <w:rsid w:val="00955157"/>
    <w:rsid w:val="00965AA9"/>
    <w:rsid w:val="00970DBB"/>
    <w:rsid w:val="009F3C5D"/>
    <w:rsid w:val="00A3108A"/>
    <w:rsid w:val="00A46323"/>
    <w:rsid w:val="00A47725"/>
    <w:rsid w:val="00A7244E"/>
    <w:rsid w:val="00A758DE"/>
    <w:rsid w:val="00B7759F"/>
    <w:rsid w:val="00BC2FB7"/>
    <w:rsid w:val="00BF69A0"/>
    <w:rsid w:val="00C63BC7"/>
    <w:rsid w:val="00C84DBF"/>
    <w:rsid w:val="00CB2916"/>
    <w:rsid w:val="00CE230F"/>
    <w:rsid w:val="00CE48C4"/>
    <w:rsid w:val="00D3459C"/>
    <w:rsid w:val="00DC51DB"/>
    <w:rsid w:val="00DD62EE"/>
    <w:rsid w:val="00E26C93"/>
    <w:rsid w:val="00E37076"/>
    <w:rsid w:val="00E632E4"/>
    <w:rsid w:val="00E85454"/>
    <w:rsid w:val="00EB4D86"/>
    <w:rsid w:val="00EC16F7"/>
    <w:rsid w:val="00ED0CC0"/>
    <w:rsid w:val="00EE1D3B"/>
    <w:rsid w:val="00EE6A30"/>
    <w:rsid w:val="00FA1CF7"/>
    <w:rsid w:val="00FD239C"/>
    <w:rsid w:val="00FF7F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4873"/>
  <w15:chartTrackingRefBased/>
  <w15:docId w15:val="{3DAF7A9B-6EB8-49F5-9B85-7B87FC77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1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323"/>
    <w:pPr>
      <w:ind w:left="720"/>
      <w:contextualSpacing/>
    </w:pPr>
  </w:style>
  <w:style w:type="character" w:customStyle="1" w:styleId="sts-tbx-entailedterm">
    <w:name w:val="sts-tbx-entailedterm"/>
    <w:basedOn w:val="DefaultParagraphFont"/>
    <w:rsid w:val="005C1C4F"/>
  </w:style>
  <w:style w:type="character" w:styleId="Hyperlink">
    <w:name w:val="Hyperlink"/>
    <w:basedOn w:val="DefaultParagraphFont"/>
    <w:uiPriority w:val="99"/>
    <w:semiHidden/>
    <w:unhideWhenUsed/>
    <w:rsid w:val="005C1C4F"/>
    <w:rPr>
      <w:color w:val="0000FF"/>
      <w:u w:val="single"/>
    </w:rPr>
  </w:style>
  <w:style w:type="character" w:customStyle="1" w:styleId="sts-tbx-entailedterm-num">
    <w:name w:val="sts-tbx-entailedterm-num"/>
    <w:basedOn w:val="DefaultParagraphFont"/>
    <w:rsid w:val="005C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51D0-F156-4FBB-8E48-F833A63C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 Kumari</dc:creator>
  <cp:keywords/>
  <dc:description/>
  <cp:lastModifiedBy>kshitij</cp:lastModifiedBy>
  <cp:revision>6</cp:revision>
  <dcterms:created xsi:type="dcterms:W3CDTF">2024-07-02T18:30:00Z</dcterms:created>
  <dcterms:modified xsi:type="dcterms:W3CDTF">2024-11-21T01:11:00Z</dcterms:modified>
</cp:coreProperties>
</file>