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BB2" w:rsidRDefault="00381BB2" w:rsidP="00381BB2"/>
    <w:p w:rsidR="00381BB2" w:rsidRDefault="00381BB2" w:rsidP="00381BB2"/>
    <w:p w:rsidR="00381BB2" w:rsidRPr="007D3610" w:rsidRDefault="00381BB2" w:rsidP="00381BB2">
      <w:pPr>
        <w:tabs>
          <w:tab w:val="left" w:pos="1905"/>
        </w:tabs>
      </w:pP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1727"/>
        <w:gridCol w:w="6177"/>
      </w:tblGrid>
      <w:tr w:rsidR="00381BB2" w:rsidRPr="006534DA" w:rsidTr="00661DB2">
        <w:trPr>
          <w:trHeight w:val="701"/>
        </w:trPr>
        <w:tc>
          <w:tcPr>
            <w:tcW w:w="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B2" w:rsidRPr="006534DA" w:rsidRDefault="00381BB2" w:rsidP="00661DB2">
            <w:pPr>
              <w:pStyle w:val="Standard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2B607B3" wp14:editId="0C523B17">
                  <wp:extent cx="777240" cy="663122"/>
                  <wp:effectExtent l="0" t="0" r="3810" b="3628"/>
                  <wp:docPr id="1" name="Picture 2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ext, clipart&#10;&#10;Description automatically generated"/>
                          <pic:cNvPicPr/>
                        </pic:nvPicPr>
                        <pic:blipFill>
                          <a:blip r:embed="rId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66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B2" w:rsidRPr="006534DA" w:rsidRDefault="00381BB2" w:rsidP="00661DB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49B1ABC2" wp14:editId="4017197A">
                  <wp:extent cx="4793037" cy="708842"/>
                  <wp:effectExtent l="0" t="0" r="7563" b="0"/>
                  <wp:docPr id="2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&#10;&#10;Description automatically generated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037" cy="70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B2" w:rsidRPr="006534DA" w:rsidTr="00661DB2">
        <w:trPr>
          <w:trHeight w:val="369"/>
        </w:trPr>
        <w:tc>
          <w:tcPr>
            <w:tcW w:w="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B2" w:rsidRPr="006534DA" w:rsidRDefault="00381BB2" w:rsidP="00661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B2" w:rsidRPr="006534DA" w:rsidRDefault="00381BB2" w:rsidP="00661DB2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  <w:b/>
                <w:bCs/>
              </w:rPr>
              <w:t>(PETROLEUM, COAL &amp; RELATED PRODUCTS DEPTT.)</w:t>
            </w:r>
          </w:p>
        </w:tc>
      </w:tr>
      <w:tr w:rsidR="00381BB2" w:rsidRPr="006534DA" w:rsidTr="00661DB2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BB2" w:rsidRPr="006534DA" w:rsidRDefault="00381BB2" w:rsidP="00661DB2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F0575">
              <w:rPr>
                <w:rFonts w:ascii="Times New Roman" w:eastAsia="Times New Roman" w:hAnsi="Times New Roman" w:cs="Times New Roman"/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RESOLUTIONS</w:t>
            </w:r>
          </w:p>
        </w:tc>
      </w:tr>
      <w:tr w:rsidR="00914810" w:rsidRPr="006534DA" w:rsidTr="00914810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39</w:t>
            </w:r>
            <w:r w:rsidRPr="003159B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3159B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Meeting of Cosmetics Sectional Committee, PCD 19   </w:t>
            </w:r>
          </w:p>
          <w:p w:rsidR="00914810" w:rsidRPr="006534DA" w:rsidRDefault="00914810" w:rsidP="00661DB2">
            <w:pPr>
              <w:pStyle w:val="Standard"/>
              <w:spacing w:after="12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14810" w:rsidRPr="006534DA" w:rsidTr="00914810">
        <w:trPr>
          <w:trHeight w:val="80"/>
        </w:trPr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DAY, DATE &amp; TIME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Friday, 30-08-2024 &amp; 11:30 a.m.</w:t>
            </w:r>
          </w:p>
        </w:tc>
      </w:tr>
      <w:tr w:rsidR="00914810" w:rsidRPr="006534DA" w:rsidTr="00914810">
        <w:trPr>
          <w:trHeight w:val="80"/>
        </w:trPr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keepNext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MEETING MODE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C21F9B" w:rsidRDefault="00914810" w:rsidP="00914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VIRTUAL</w:t>
            </w:r>
            <w:r w:rsidRPr="00315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MEETING</w:t>
            </w:r>
          </w:p>
        </w:tc>
      </w:tr>
      <w:tr w:rsidR="00914810" w:rsidRPr="006534DA" w:rsidTr="00914810">
        <w:trPr>
          <w:trHeight w:val="544"/>
        </w:trPr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keepNext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159B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CHAIRPERSON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AA6C61" w:rsidRDefault="00914810" w:rsidP="00914810">
            <w:pPr>
              <w:keepNext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29C0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en-IN"/>
              </w:rPr>
              <w:t>Dr. Rajeev Singh Raghuvanshi, Drugs Controller General (India)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en-IN"/>
              </w:rPr>
              <w:t xml:space="preserve"> </w:t>
            </w:r>
          </w:p>
        </w:tc>
      </w:tr>
      <w:tr w:rsidR="00914810" w:rsidRPr="006534DA" w:rsidTr="00914810">
        <w:trPr>
          <w:trHeight w:val="544"/>
        </w:trPr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3159B8" w:rsidRDefault="00914810" w:rsidP="00914810">
            <w:pPr>
              <w:keepNext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159B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MEMBER SECRETARY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10" w:rsidRPr="00EA3F1E" w:rsidRDefault="00914810" w:rsidP="0091481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A3F1E">
              <w:rPr>
                <w:sz w:val="24"/>
                <w:szCs w:val="24"/>
              </w:rPr>
              <w:t>Shri</w:t>
            </w:r>
            <w:r w:rsidRPr="00EA3F1E">
              <w:rPr>
                <w:spacing w:val="-12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Rajat</w:t>
            </w:r>
            <w:r w:rsidRPr="00EA3F1E">
              <w:rPr>
                <w:spacing w:val="2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Gupta,</w:t>
            </w:r>
            <w:r w:rsidRPr="00EA3F1E">
              <w:rPr>
                <w:spacing w:val="-5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Scientist</w:t>
            </w:r>
            <w:r w:rsidRPr="00EA3F1E">
              <w:rPr>
                <w:spacing w:val="1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‘C’/</w:t>
            </w:r>
            <w:r w:rsidRPr="00EA3F1E">
              <w:rPr>
                <w:spacing w:val="2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Deputy</w:t>
            </w:r>
            <w:r w:rsidRPr="00EA3F1E">
              <w:rPr>
                <w:spacing w:val="3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>Director</w:t>
            </w:r>
            <w:r w:rsidRPr="00EA3F1E">
              <w:rPr>
                <w:spacing w:val="-6"/>
                <w:sz w:val="24"/>
                <w:szCs w:val="24"/>
              </w:rPr>
              <w:t xml:space="preserve"> </w:t>
            </w:r>
            <w:r w:rsidRPr="00EA3F1E">
              <w:rPr>
                <w:sz w:val="24"/>
                <w:szCs w:val="24"/>
              </w:rPr>
              <w:t xml:space="preserve">(PCD), </w:t>
            </w:r>
            <w:r w:rsidRPr="00EA3F1E">
              <w:rPr>
                <w:spacing w:val="-5"/>
                <w:sz w:val="24"/>
                <w:szCs w:val="24"/>
              </w:rPr>
              <w:t>BIS</w:t>
            </w:r>
          </w:p>
          <w:p w:rsidR="00914810" w:rsidRPr="003159B8" w:rsidRDefault="00914810" w:rsidP="00914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159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3159B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de-DE"/>
              </w:rPr>
              <w:t>pcd19@bis.gov.in</w:t>
            </w:r>
            <w:r w:rsidRPr="003159B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381BB2" w:rsidRDefault="00381BB2" w:rsidP="00381BB2">
      <w:pPr>
        <w:tabs>
          <w:tab w:val="left" w:pos="1905"/>
        </w:tabs>
      </w:pPr>
    </w:p>
    <w:p w:rsidR="00381BB2" w:rsidRDefault="00381BB2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PCD1</w:t>
      </w:r>
      <w:r w:rsidR="008F5D6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/2024:01/R-1</w:t>
      </w:r>
    </w:p>
    <w:p w:rsidR="005E5D89" w:rsidRDefault="005E5D89" w:rsidP="0038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D36" w:rsidRPr="00830BCD" w:rsidRDefault="002F6D36" w:rsidP="002F6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30BCD">
        <w:rPr>
          <w:rFonts w:ascii="Times New Roman" w:eastAsia="Times New Roman" w:hAnsi="Times New Roman" w:cs="Times New Roman"/>
          <w:bCs/>
        </w:rPr>
        <w:t>The Committee decided to change the nomenclature of existing sub-committees to panels and existing panels to working groups.</w:t>
      </w:r>
    </w:p>
    <w:p w:rsidR="002F6D36" w:rsidRDefault="002F6D36" w:rsidP="0038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1B4" w:rsidRPr="007177B9" w:rsidRDefault="005E5D89" w:rsidP="00E351B4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177B9">
        <w:rPr>
          <w:rFonts w:ascii="Times New Roman" w:eastAsia="Times New Roman" w:hAnsi="Times New Roman" w:cs="Times New Roman"/>
          <w:b/>
        </w:rPr>
        <w:t>2.3 Requests</w:t>
      </w:r>
      <w:r w:rsidR="00343766" w:rsidRPr="007177B9">
        <w:rPr>
          <w:rFonts w:ascii="Times New Roman" w:eastAsia="Times New Roman" w:hAnsi="Times New Roman" w:cs="Times New Roman"/>
          <w:b/>
        </w:rPr>
        <w:t xml:space="preserve"> for representation in Cosmetics</w:t>
      </w:r>
      <w:r w:rsidRPr="007177B9">
        <w:rPr>
          <w:rFonts w:ascii="Times New Roman" w:eastAsia="Times New Roman" w:hAnsi="Times New Roman" w:cs="Times New Roman"/>
          <w:b/>
        </w:rPr>
        <w:t xml:space="preserve"> Sectional Committee</w:t>
      </w:r>
      <w:r w:rsidR="00343766" w:rsidRPr="007177B9">
        <w:rPr>
          <w:rFonts w:ascii="Times New Roman" w:eastAsia="Times New Roman" w:hAnsi="Times New Roman" w:cs="Times New Roman"/>
          <w:b/>
        </w:rPr>
        <w:t>, PCD 19</w:t>
      </w:r>
    </w:p>
    <w:p w:rsidR="00E351B4" w:rsidRPr="007E1C9B" w:rsidRDefault="00E351B4" w:rsidP="00E351B4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7E1C9B">
        <w:rPr>
          <w:rFonts w:ascii="Times New Roman" w:hAnsi="Times New Roman" w:cs="Times New Roman"/>
        </w:rPr>
        <w:t xml:space="preserve">The Committee decided to Co-opt </w:t>
      </w:r>
      <w:r w:rsidR="000A6B0C">
        <w:rPr>
          <w:rFonts w:ascii="Times New Roman" w:hAnsi="Times New Roman" w:cs="Times New Roman"/>
        </w:rPr>
        <w:t>PETA India since it is an NGO.</w:t>
      </w:r>
      <w:r w:rsidR="00DB2332">
        <w:rPr>
          <w:rFonts w:ascii="Times New Roman" w:hAnsi="Times New Roman" w:cs="Times New Roman"/>
        </w:rPr>
        <w:t xml:space="preserve"> The Committee decided that the industries whose co-option request</w:t>
      </w:r>
      <w:r w:rsidR="009B47C3">
        <w:rPr>
          <w:rFonts w:ascii="Times New Roman" w:hAnsi="Times New Roman" w:cs="Times New Roman"/>
        </w:rPr>
        <w:t xml:space="preserve"> has been received</w:t>
      </w:r>
      <w:r w:rsidR="00DB2332">
        <w:rPr>
          <w:rFonts w:ascii="Times New Roman" w:hAnsi="Times New Roman" w:cs="Times New Roman"/>
        </w:rPr>
        <w:t xml:space="preserve"> shall participate on behalf of Industry Associations. </w:t>
      </w:r>
      <w:r w:rsidR="00976979">
        <w:rPr>
          <w:rFonts w:ascii="Times New Roman" w:hAnsi="Times New Roman" w:cs="Times New Roman"/>
        </w:rPr>
        <w:t>The Committee further decided to review the co-option request</w:t>
      </w:r>
      <w:r w:rsidR="00CB6ABD">
        <w:rPr>
          <w:rFonts w:ascii="Times New Roman" w:hAnsi="Times New Roman" w:cs="Times New Roman"/>
        </w:rPr>
        <w:t>s</w:t>
      </w:r>
      <w:r w:rsidR="00976979">
        <w:rPr>
          <w:rFonts w:ascii="Times New Roman" w:hAnsi="Times New Roman" w:cs="Times New Roman"/>
        </w:rPr>
        <w:t xml:space="preserve"> received from Industry Associations in the next meeting along with the review of the industries already existing in the committee.</w:t>
      </w:r>
    </w:p>
    <w:p w:rsidR="00914810" w:rsidRPr="00E351B4" w:rsidRDefault="00914810" w:rsidP="0038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BB2" w:rsidRDefault="00381BB2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PCD1</w:t>
      </w:r>
      <w:r w:rsidR="008F5D6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</w:t>
      </w:r>
    </w:p>
    <w:p w:rsidR="005E5D89" w:rsidRPr="00DF0575" w:rsidRDefault="005E5D89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381BB2" w:rsidRDefault="00FB452B" w:rsidP="00FB452B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Benedict informed the committee that the working draft on ‘</w:t>
      </w:r>
      <w:r w:rsidRPr="00FB452B">
        <w:rPr>
          <w:rFonts w:ascii="Times New Roman" w:hAnsi="Times New Roman" w:cs="Times New Roman"/>
        </w:rPr>
        <w:t>Labelling and Claims for the natural and organic cosmetics</w:t>
      </w:r>
      <w:r>
        <w:rPr>
          <w:rFonts w:ascii="Times New Roman" w:hAnsi="Times New Roman" w:cs="Times New Roman"/>
        </w:rPr>
        <w:t>’ will be submitted by October 2024 end and will be circulated to the committee for comments.</w:t>
      </w:r>
    </w:p>
    <w:p w:rsidR="00FB452B" w:rsidRDefault="00FB452B" w:rsidP="00FB452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B452B" w:rsidRDefault="00FB452B" w:rsidP="00FB452B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Benedict informed the committee that the draft revision of IS </w:t>
      </w:r>
      <w:proofErr w:type="gramStart"/>
      <w:r>
        <w:rPr>
          <w:rFonts w:ascii="Times New Roman" w:hAnsi="Times New Roman" w:cs="Times New Roman"/>
        </w:rPr>
        <w:t>4011 :</w:t>
      </w:r>
      <w:proofErr w:type="gramEnd"/>
      <w:r>
        <w:rPr>
          <w:rFonts w:ascii="Times New Roman" w:hAnsi="Times New Roman" w:cs="Times New Roman"/>
        </w:rPr>
        <w:t xml:space="preserve"> 2018 </w:t>
      </w:r>
      <w:r w:rsidRPr="00FB452B">
        <w:rPr>
          <w:rFonts w:ascii="Times New Roman" w:hAnsi="Times New Roman" w:cs="Times New Roman"/>
        </w:rPr>
        <w:t>Methods of Test for Safety Evaluation of Cosmetics (Third Revision)</w:t>
      </w:r>
      <w:r>
        <w:rPr>
          <w:rFonts w:ascii="Times New Roman" w:hAnsi="Times New Roman" w:cs="Times New Roman"/>
        </w:rPr>
        <w:t xml:space="preserve"> will be submitted by October 2024 end. The Committee further decided to organize a webinar/workshop on ‘</w:t>
      </w:r>
      <w:r w:rsidRPr="00FB452B">
        <w:rPr>
          <w:rFonts w:ascii="Times New Roman" w:hAnsi="Times New Roman" w:cs="Times New Roman"/>
        </w:rPr>
        <w:t>NGRA (Next generation Risk Assessment) methods</w:t>
      </w:r>
      <w:r>
        <w:rPr>
          <w:rFonts w:ascii="Times New Roman" w:hAnsi="Times New Roman" w:cs="Times New Roman"/>
        </w:rPr>
        <w:t>’ latest by October 2024.</w:t>
      </w:r>
    </w:p>
    <w:p w:rsidR="00FB452B" w:rsidRPr="00FB452B" w:rsidRDefault="00FB452B" w:rsidP="00FB452B">
      <w:pPr>
        <w:pStyle w:val="ListParagraph"/>
        <w:rPr>
          <w:rFonts w:ascii="Times New Roman" w:hAnsi="Times New Roman" w:cs="Times New Roman"/>
        </w:rPr>
      </w:pPr>
    </w:p>
    <w:p w:rsidR="00FB452B" w:rsidRDefault="00192E64" w:rsidP="00FB452B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IBHA informed the committee that the inputs on </w:t>
      </w:r>
      <w:r w:rsidRPr="00192E64">
        <w:rPr>
          <w:rFonts w:ascii="Times New Roman" w:hAnsi="Times New Roman" w:cs="Times New Roman"/>
        </w:rPr>
        <w:t>the Horizontal/ Safety Standards available world over and a New Work Item Proposal (NWIP) for deliberation in the Committee</w:t>
      </w:r>
      <w:r>
        <w:rPr>
          <w:rFonts w:ascii="Times New Roman" w:hAnsi="Times New Roman" w:cs="Times New Roman"/>
        </w:rPr>
        <w:t xml:space="preserve"> </w:t>
      </w:r>
      <w:r w:rsidR="00C92034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be provided by them within a month.</w:t>
      </w:r>
    </w:p>
    <w:p w:rsidR="00192E64" w:rsidRDefault="00192E64" w:rsidP="00192E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2F89" w:rsidRPr="00192E64" w:rsidRDefault="00832F89" w:rsidP="00192E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BB2" w:rsidRDefault="00381BB2" w:rsidP="003F25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PCD1</w:t>
      </w:r>
      <w:r w:rsidR="008F5D6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</w:p>
    <w:p w:rsidR="003F2540" w:rsidRPr="003F2540" w:rsidRDefault="003F2540" w:rsidP="003F254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3F2540" w:rsidRDefault="003F2540" w:rsidP="001B50EA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decided to deliberate the comments received on </w:t>
      </w:r>
      <w:r w:rsidR="007C618B">
        <w:rPr>
          <w:rFonts w:ascii="Times New Roman" w:hAnsi="Times New Roman" w:cs="Times New Roman"/>
        </w:rPr>
        <w:t xml:space="preserve">Doc. No. </w:t>
      </w:r>
      <w:r>
        <w:rPr>
          <w:rFonts w:ascii="Times New Roman" w:hAnsi="Times New Roman" w:cs="Times New Roman"/>
        </w:rPr>
        <w:t>PCD 19/15096, PCD 19/19476, PCD 19/19479, PCD 19/19493 and PCD 19/24649 in the respective panels</w:t>
      </w:r>
      <w:r w:rsidR="00124F41">
        <w:rPr>
          <w:rFonts w:ascii="Times New Roman" w:hAnsi="Times New Roman" w:cs="Times New Roman"/>
        </w:rPr>
        <w:t xml:space="preserve"> and will be taken up in the next meeting.</w:t>
      </w:r>
    </w:p>
    <w:p w:rsidR="00124F41" w:rsidRDefault="00124F41" w:rsidP="00124F41">
      <w:pPr>
        <w:pStyle w:val="ListParagraph"/>
        <w:ind w:left="284"/>
        <w:rPr>
          <w:rFonts w:ascii="Times New Roman" w:hAnsi="Times New Roman" w:cs="Times New Roman"/>
        </w:rPr>
      </w:pPr>
    </w:p>
    <w:p w:rsidR="00124F41" w:rsidRDefault="007C618B" w:rsidP="001B50EA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DD59AD">
        <w:rPr>
          <w:rFonts w:ascii="Times New Roman" w:hAnsi="Times New Roman" w:cs="Times New Roman"/>
        </w:rPr>
        <w:t>The Committee finalized the Doc. No.</w:t>
      </w:r>
      <w:r>
        <w:rPr>
          <w:rFonts w:ascii="Times New Roman" w:hAnsi="Times New Roman" w:cs="Times New Roman"/>
        </w:rPr>
        <w:t xml:space="preserve"> </w:t>
      </w:r>
      <w:r w:rsidR="001F4189">
        <w:rPr>
          <w:rFonts w:ascii="Times New Roman" w:hAnsi="Times New Roman" w:cs="Times New Roman"/>
        </w:rPr>
        <w:t xml:space="preserve">PCD 19/17644, PCD 19/17647, PCD 19/19444, PCD 19/23405 and PCD 19/23425 </w:t>
      </w:r>
      <w:r w:rsidRPr="00DD59AD">
        <w:rPr>
          <w:rFonts w:ascii="Times New Roman" w:hAnsi="Times New Roman" w:cs="Times New Roman"/>
        </w:rPr>
        <w:t>and decided to send it for printing.</w:t>
      </w:r>
      <w:r>
        <w:rPr>
          <w:rFonts w:ascii="Times New Roman" w:hAnsi="Times New Roman" w:cs="Times New Roman"/>
        </w:rPr>
        <w:t xml:space="preserve"> </w:t>
      </w:r>
    </w:p>
    <w:p w:rsidR="001B50EA" w:rsidRPr="001B50EA" w:rsidRDefault="001B50EA" w:rsidP="001B50EA">
      <w:pPr>
        <w:pStyle w:val="ListParagraph"/>
        <w:rPr>
          <w:rFonts w:ascii="Times New Roman" w:hAnsi="Times New Roman" w:cs="Times New Roman"/>
        </w:rPr>
      </w:pPr>
    </w:p>
    <w:p w:rsidR="001B50EA" w:rsidRDefault="001B50EA" w:rsidP="001B50EA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decided to reissue the draft received from Godrej CP on IS </w:t>
      </w:r>
      <w:proofErr w:type="gramStart"/>
      <w:r>
        <w:rPr>
          <w:rFonts w:ascii="Times New Roman" w:hAnsi="Times New Roman" w:cs="Times New Roman"/>
        </w:rPr>
        <w:t>14648 :</w:t>
      </w:r>
      <w:proofErr w:type="gramEnd"/>
      <w:r>
        <w:rPr>
          <w:rFonts w:ascii="Times New Roman" w:hAnsi="Times New Roman" w:cs="Times New Roman"/>
        </w:rPr>
        <w:t xml:space="preserve"> 2011 in wide circulation for 2 months with a new document number.</w:t>
      </w:r>
    </w:p>
    <w:p w:rsidR="001B50EA" w:rsidRPr="001B50EA" w:rsidRDefault="001B50EA" w:rsidP="001B50EA">
      <w:pPr>
        <w:pStyle w:val="ListParagraph"/>
        <w:rPr>
          <w:rFonts w:ascii="Times New Roman" w:hAnsi="Times New Roman" w:cs="Times New Roman"/>
        </w:rPr>
      </w:pPr>
    </w:p>
    <w:p w:rsidR="001B50EA" w:rsidRDefault="00770A48" w:rsidP="001B50EA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decided to hold the printing of Doc. No. PCD 19/19461 since IS </w:t>
      </w:r>
      <w:proofErr w:type="gramStart"/>
      <w:r>
        <w:rPr>
          <w:rFonts w:ascii="Times New Roman" w:hAnsi="Times New Roman" w:cs="Times New Roman"/>
        </w:rPr>
        <w:t>18822 :</w:t>
      </w:r>
      <w:proofErr w:type="gramEnd"/>
      <w:r>
        <w:rPr>
          <w:rFonts w:ascii="Times New Roman" w:hAnsi="Times New Roman" w:cs="Times New Roman"/>
        </w:rPr>
        <w:t xml:space="preserve"> 2024/ISO 16408:2015 is already available. The Committee further decided to compare the Doc. No. PCD 19/19461 with IS </w:t>
      </w:r>
      <w:proofErr w:type="gramStart"/>
      <w:r>
        <w:rPr>
          <w:rFonts w:ascii="Times New Roman" w:hAnsi="Times New Roman" w:cs="Times New Roman"/>
        </w:rPr>
        <w:t>18822 :</w:t>
      </w:r>
      <w:proofErr w:type="gramEnd"/>
      <w:r>
        <w:rPr>
          <w:rFonts w:ascii="Times New Roman" w:hAnsi="Times New Roman" w:cs="Times New Roman"/>
        </w:rPr>
        <w:t xml:space="preserve"> 2024/ISO 16408:2015 and inform the changes, if any</w:t>
      </w:r>
      <w:r w:rsidR="001C7C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the next meeting.</w:t>
      </w:r>
    </w:p>
    <w:p w:rsidR="001C7C11" w:rsidRPr="001C7C11" w:rsidRDefault="001C7C11" w:rsidP="001C7C11">
      <w:pPr>
        <w:pStyle w:val="ListParagraph"/>
        <w:rPr>
          <w:rFonts w:ascii="Times New Roman" w:hAnsi="Times New Roman" w:cs="Times New Roman"/>
        </w:rPr>
      </w:pPr>
    </w:p>
    <w:p w:rsidR="001C7C11" w:rsidRDefault="008933BE" w:rsidP="001B50EA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decided to finalize the Doc. No. PCD 19/19573 by incorporating the sub-committee recommendations and comments received from </w:t>
      </w:r>
      <w:r w:rsidRPr="008933BE">
        <w:rPr>
          <w:rFonts w:ascii="Times New Roman" w:eastAsia="Times New Roman" w:hAnsi="Times New Roman" w:cs="Times New Roman"/>
        </w:rPr>
        <w:t xml:space="preserve">Mr. Ashish </w:t>
      </w:r>
      <w:proofErr w:type="spellStart"/>
      <w:r w:rsidRPr="008933BE">
        <w:rPr>
          <w:rFonts w:ascii="Times New Roman" w:eastAsia="Times New Roman" w:hAnsi="Times New Roman" w:cs="Times New Roman"/>
        </w:rPr>
        <w:t>Yekhe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r w:rsidRPr="00DD59AD">
        <w:rPr>
          <w:rFonts w:ascii="Times New Roman" w:hAnsi="Times New Roman" w:cs="Times New Roman"/>
        </w:rPr>
        <w:t>decided to send it for printing.</w:t>
      </w:r>
      <w:r>
        <w:rPr>
          <w:rFonts w:ascii="Times New Roman" w:hAnsi="Times New Roman" w:cs="Times New Roman"/>
        </w:rPr>
        <w:t xml:space="preserve"> </w:t>
      </w:r>
    </w:p>
    <w:p w:rsidR="005C1840" w:rsidRPr="005C1840" w:rsidRDefault="005C1840" w:rsidP="005C1840">
      <w:pPr>
        <w:pStyle w:val="ListParagraph"/>
        <w:rPr>
          <w:rFonts w:ascii="Times New Roman" w:hAnsi="Times New Roman" w:cs="Times New Roman"/>
        </w:rPr>
      </w:pPr>
    </w:p>
    <w:p w:rsidR="005C1840" w:rsidRDefault="005C1840" w:rsidP="005C1840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5B352B">
        <w:rPr>
          <w:rFonts w:ascii="Times New Roman" w:hAnsi="Times New Roman" w:cs="Times New Roman"/>
        </w:rPr>
        <w:t>The Committee deliberated on the comments received</w:t>
      </w:r>
      <w:r>
        <w:rPr>
          <w:rFonts w:ascii="Times New Roman" w:hAnsi="Times New Roman" w:cs="Times New Roman"/>
        </w:rPr>
        <w:t xml:space="preserve"> by IBHA</w:t>
      </w:r>
      <w:r w:rsidRPr="005B352B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Doc. No. PCD 19/20109 and agreed with the comments. The Committee further decided to finalize the Doc. No. PCD 19/20109 by incorporating the sub-committee recommendations and </w:t>
      </w:r>
      <w:r w:rsidR="00651524">
        <w:rPr>
          <w:rFonts w:ascii="Times New Roman" w:hAnsi="Times New Roman" w:cs="Times New Roman"/>
        </w:rPr>
        <w:t xml:space="preserve">agreed changes </w:t>
      </w:r>
      <w:r>
        <w:rPr>
          <w:rFonts w:ascii="Times New Roman" w:eastAsia="Times New Roman" w:hAnsi="Times New Roman" w:cs="Times New Roman"/>
        </w:rPr>
        <w:t xml:space="preserve">and </w:t>
      </w:r>
      <w:r w:rsidRPr="00DD59AD">
        <w:rPr>
          <w:rFonts w:ascii="Times New Roman" w:hAnsi="Times New Roman" w:cs="Times New Roman"/>
        </w:rPr>
        <w:t>decided to send it for printing.</w:t>
      </w:r>
      <w:r>
        <w:rPr>
          <w:rFonts w:ascii="Times New Roman" w:hAnsi="Times New Roman" w:cs="Times New Roman"/>
        </w:rPr>
        <w:t xml:space="preserve"> </w:t>
      </w:r>
    </w:p>
    <w:p w:rsidR="00E051B4" w:rsidRPr="00E051B4" w:rsidRDefault="00E051B4" w:rsidP="00E051B4">
      <w:pPr>
        <w:pStyle w:val="ListParagraph"/>
        <w:rPr>
          <w:rFonts w:ascii="Times New Roman" w:hAnsi="Times New Roman" w:cs="Times New Roman"/>
        </w:rPr>
      </w:pPr>
    </w:p>
    <w:p w:rsidR="00E051B4" w:rsidRDefault="00E051B4" w:rsidP="00E051B4">
      <w:pPr>
        <w:pStyle w:val="ListParagraph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5B352B">
        <w:rPr>
          <w:rFonts w:ascii="Times New Roman" w:hAnsi="Times New Roman" w:cs="Times New Roman"/>
        </w:rPr>
        <w:t>The Committee deliberated on the comments received</w:t>
      </w:r>
      <w:r>
        <w:rPr>
          <w:rFonts w:ascii="Times New Roman" w:hAnsi="Times New Roman" w:cs="Times New Roman"/>
        </w:rPr>
        <w:t xml:space="preserve"> by Ms. </w:t>
      </w:r>
      <w:proofErr w:type="spellStart"/>
      <w:r>
        <w:rPr>
          <w:rFonts w:ascii="Times New Roman" w:hAnsi="Times New Roman" w:cs="Times New Roman"/>
        </w:rPr>
        <w:t>Vrinda</w:t>
      </w:r>
      <w:proofErr w:type="spellEnd"/>
      <w:r w:rsidRPr="005B352B">
        <w:rPr>
          <w:rFonts w:ascii="Times New Roman" w:hAnsi="Times New Roman" w:cs="Times New Roman"/>
        </w:rPr>
        <w:t xml:space="preserve"> on</w:t>
      </w:r>
      <w:r>
        <w:rPr>
          <w:rFonts w:ascii="Times New Roman" w:hAnsi="Times New Roman" w:cs="Times New Roman"/>
        </w:rPr>
        <w:t xml:space="preserve"> Doc. No. PCD 19/20742 and agreed with the comments. The Committee further decided to finalize the Doc. No. PCD 19/20742 by incorporating the sub-committee recommendations and agreed changes </w:t>
      </w:r>
      <w:r>
        <w:rPr>
          <w:rFonts w:ascii="Times New Roman" w:eastAsia="Times New Roman" w:hAnsi="Times New Roman" w:cs="Times New Roman"/>
        </w:rPr>
        <w:t xml:space="preserve">and </w:t>
      </w:r>
      <w:r w:rsidRPr="00DD59AD">
        <w:rPr>
          <w:rFonts w:ascii="Times New Roman" w:hAnsi="Times New Roman" w:cs="Times New Roman"/>
        </w:rPr>
        <w:t>decided to send it for printing.</w:t>
      </w:r>
      <w:r>
        <w:rPr>
          <w:rFonts w:ascii="Times New Roman" w:hAnsi="Times New Roman" w:cs="Times New Roman"/>
        </w:rPr>
        <w:t xml:space="preserve"> </w:t>
      </w:r>
    </w:p>
    <w:p w:rsidR="00E051B4" w:rsidRPr="00E051B4" w:rsidRDefault="00E051B4" w:rsidP="00E051B4">
      <w:pPr>
        <w:pStyle w:val="ListParagraph"/>
        <w:rPr>
          <w:rFonts w:ascii="Times New Roman" w:hAnsi="Times New Roman" w:cs="Times New Roman"/>
        </w:rPr>
      </w:pPr>
    </w:p>
    <w:p w:rsidR="00E051B4" w:rsidRPr="00E051B4" w:rsidRDefault="00E051B4" w:rsidP="00E051B4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381BB2" w:rsidRDefault="00381BB2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PCD1</w:t>
      </w:r>
      <w:r w:rsidR="008F5D6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4</w:t>
      </w:r>
    </w:p>
    <w:p w:rsidR="00E0376D" w:rsidRPr="00DF0575" w:rsidRDefault="00E0376D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B67AE9" w:rsidRPr="00514B92" w:rsidRDefault="00753F55" w:rsidP="006D449D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14B92">
        <w:rPr>
          <w:rFonts w:ascii="Times New Roman" w:hAnsi="Times New Roman" w:cs="Times New Roman"/>
        </w:rPr>
        <w:t xml:space="preserve">The Committee deliberated on the comments received by </w:t>
      </w:r>
      <w:proofErr w:type="spellStart"/>
      <w:r w:rsidRPr="00514B92">
        <w:rPr>
          <w:rFonts w:ascii="Times New Roman" w:hAnsi="Times New Roman" w:cs="Times New Roman"/>
        </w:rPr>
        <w:t>Juris&amp;Juris</w:t>
      </w:r>
      <w:proofErr w:type="spellEnd"/>
      <w:r w:rsidRPr="00514B92">
        <w:rPr>
          <w:rFonts w:ascii="Times New Roman" w:hAnsi="Times New Roman" w:cs="Times New Roman"/>
        </w:rPr>
        <w:t xml:space="preserve"> on IS 4707 (Part 2</w:t>
      </w:r>
      <w:proofErr w:type="gramStart"/>
      <w:r w:rsidRPr="00514B92">
        <w:rPr>
          <w:rFonts w:ascii="Times New Roman" w:hAnsi="Times New Roman" w:cs="Times New Roman"/>
        </w:rPr>
        <w:t>) :</w:t>
      </w:r>
      <w:proofErr w:type="gramEnd"/>
      <w:r w:rsidRPr="00514B92">
        <w:rPr>
          <w:rFonts w:ascii="Times New Roman" w:hAnsi="Times New Roman" w:cs="Times New Roman"/>
        </w:rPr>
        <w:t xml:space="preserve"> 2017 and disagreed with their comments. </w:t>
      </w:r>
      <w:r w:rsidR="002D2B7E" w:rsidRPr="00514B92">
        <w:rPr>
          <w:rFonts w:ascii="Times New Roman" w:hAnsi="Times New Roman" w:cs="Times New Roman"/>
        </w:rPr>
        <w:t xml:space="preserve">The Committee thoroughly reviewed the issue and decided to endorse the panel's recommendations, while rejecting the comments submitted by </w:t>
      </w:r>
      <w:proofErr w:type="spellStart"/>
      <w:r w:rsidR="002D2B7E" w:rsidRPr="00514B92">
        <w:rPr>
          <w:rFonts w:ascii="Times New Roman" w:hAnsi="Times New Roman" w:cs="Times New Roman"/>
        </w:rPr>
        <w:t>Juris&amp;Juris</w:t>
      </w:r>
      <w:proofErr w:type="spellEnd"/>
      <w:r w:rsidR="002D2B7E" w:rsidRPr="00514B92">
        <w:rPr>
          <w:rFonts w:ascii="Times New Roman" w:hAnsi="Times New Roman" w:cs="Times New Roman"/>
        </w:rPr>
        <w:t>. The Committee reject</w:t>
      </w:r>
      <w:r w:rsidR="00660272" w:rsidRPr="00514B92">
        <w:rPr>
          <w:rFonts w:ascii="Times New Roman" w:hAnsi="Times New Roman" w:cs="Times New Roman"/>
        </w:rPr>
        <w:t xml:space="preserve">ed comments of </w:t>
      </w:r>
      <w:proofErr w:type="spellStart"/>
      <w:r w:rsidR="00660272" w:rsidRPr="00514B92">
        <w:rPr>
          <w:rFonts w:ascii="Times New Roman" w:hAnsi="Times New Roman" w:cs="Times New Roman"/>
        </w:rPr>
        <w:t>Juris&amp;Juris</w:t>
      </w:r>
      <w:proofErr w:type="spellEnd"/>
      <w:r w:rsidR="00660272" w:rsidRPr="00514B92">
        <w:rPr>
          <w:rFonts w:ascii="Times New Roman" w:hAnsi="Times New Roman" w:cs="Times New Roman"/>
        </w:rPr>
        <w:t xml:space="preserve"> because of </w:t>
      </w:r>
      <w:r w:rsidR="002D2B7E" w:rsidRPr="00514B92">
        <w:rPr>
          <w:rFonts w:ascii="Times New Roman" w:hAnsi="Times New Roman" w:cs="Times New Roman"/>
        </w:rPr>
        <w:t xml:space="preserve">the absence of required safety reports and the fact that the molecule ‘Chlorhexidine di-undecylenate’ (commonly known as </w:t>
      </w:r>
      <w:proofErr w:type="spellStart"/>
      <w:r w:rsidR="002D2B7E" w:rsidRPr="00514B92">
        <w:rPr>
          <w:rFonts w:ascii="Times New Roman" w:hAnsi="Times New Roman" w:cs="Times New Roman"/>
        </w:rPr>
        <w:t>Salibact</w:t>
      </w:r>
      <w:proofErr w:type="spellEnd"/>
      <w:r w:rsidR="002D2B7E" w:rsidRPr="00514B92">
        <w:rPr>
          <w:rFonts w:ascii="Times New Roman" w:hAnsi="Times New Roman" w:cs="Times New Roman"/>
        </w:rPr>
        <w:t xml:space="preserve">) is not referenced in any existing regulations globally. </w:t>
      </w:r>
    </w:p>
    <w:p w:rsidR="002D2B7E" w:rsidRPr="002D2B7E" w:rsidRDefault="002D2B7E" w:rsidP="002D2B7E">
      <w:pPr>
        <w:pStyle w:val="ListParagraph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B7E" w:rsidRPr="00514B92" w:rsidRDefault="003B4CCF" w:rsidP="00753F55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14B92">
        <w:rPr>
          <w:rFonts w:ascii="Times New Roman" w:hAnsi="Times New Roman" w:cs="Times New Roman"/>
        </w:rPr>
        <w:t xml:space="preserve">The Committee decided to deliberate the comments received on IS </w:t>
      </w:r>
      <w:proofErr w:type="gramStart"/>
      <w:r w:rsidRPr="00514B92">
        <w:rPr>
          <w:rFonts w:ascii="Times New Roman" w:hAnsi="Times New Roman" w:cs="Times New Roman"/>
        </w:rPr>
        <w:t>10377 :</w:t>
      </w:r>
      <w:proofErr w:type="gramEnd"/>
      <w:r w:rsidRPr="00514B92">
        <w:rPr>
          <w:rFonts w:ascii="Times New Roman" w:hAnsi="Times New Roman" w:cs="Times New Roman"/>
        </w:rPr>
        <w:t xml:space="preserve"> 2024 from Loreal India Ltd. in </w:t>
      </w:r>
      <w:r w:rsidR="0067486A" w:rsidRPr="00514B92">
        <w:rPr>
          <w:rFonts w:ascii="Times New Roman" w:hAnsi="Times New Roman" w:cs="Times New Roman"/>
        </w:rPr>
        <w:t>the respective panel.</w:t>
      </w:r>
      <w:r w:rsidR="00F516A3" w:rsidRPr="00514B92">
        <w:rPr>
          <w:rFonts w:ascii="Times New Roman" w:hAnsi="Times New Roman" w:cs="Times New Roman"/>
        </w:rPr>
        <w:t xml:space="preserve"> </w:t>
      </w:r>
    </w:p>
    <w:p w:rsidR="00F516A3" w:rsidRPr="00F516A3" w:rsidRDefault="00F516A3" w:rsidP="00C82E5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6A3" w:rsidRDefault="00F516A3" w:rsidP="00C82E54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F516A3">
        <w:rPr>
          <w:rFonts w:ascii="Times New Roman" w:hAnsi="Times New Roman" w:cs="Times New Roman"/>
        </w:rPr>
        <w:lastRenderedPageBreak/>
        <w:t xml:space="preserve">The Committee decided to deliberate the amendment proposals received on IS </w:t>
      </w:r>
      <w:proofErr w:type="gramStart"/>
      <w:r w:rsidRPr="00F516A3">
        <w:rPr>
          <w:rFonts w:ascii="Times New Roman" w:hAnsi="Times New Roman" w:cs="Times New Roman"/>
        </w:rPr>
        <w:t>6356 :</w:t>
      </w:r>
      <w:proofErr w:type="gramEnd"/>
      <w:r w:rsidRPr="00F516A3">
        <w:rPr>
          <w:rFonts w:ascii="Times New Roman" w:hAnsi="Times New Roman" w:cs="Times New Roman"/>
        </w:rPr>
        <w:t xml:space="preserve"> 2021 by Colgate-Palmolive (India) Ltd. and IS 3959 : 202</w:t>
      </w:r>
      <w:r>
        <w:rPr>
          <w:rFonts w:ascii="Times New Roman" w:hAnsi="Times New Roman" w:cs="Times New Roman"/>
        </w:rPr>
        <w:t>3</w:t>
      </w:r>
      <w:r w:rsidRPr="00F516A3">
        <w:rPr>
          <w:rFonts w:ascii="Times New Roman" w:hAnsi="Times New Roman" w:cs="Times New Roman"/>
        </w:rPr>
        <w:t xml:space="preserve"> by HUL</w:t>
      </w:r>
      <w:r w:rsidR="00D937DA">
        <w:rPr>
          <w:rFonts w:ascii="Times New Roman" w:hAnsi="Times New Roman" w:cs="Times New Roman"/>
        </w:rPr>
        <w:t>,</w:t>
      </w:r>
      <w:r w:rsidRPr="00F516A3">
        <w:rPr>
          <w:rFonts w:ascii="Times New Roman" w:hAnsi="Times New Roman" w:cs="Times New Roman"/>
        </w:rPr>
        <w:t xml:space="preserve"> in the respective panels.</w:t>
      </w:r>
    </w:p>
    <w:p w:rsidR="00F516A3" w:rsidRPr="00F516A3" w:rsidRDefault="00F516A3" w:rsidP="00F516A3">
      <w:pPr>
        <w:pStyle w:val="ListParagraph"/>
        <w:rPr>
          <w:rFonts w:ascii="Times New Roman" w:hAnsi="Times New Roman" w:cs="Times New Roman"/>
        </w:rPr>
      </w:pPr>
    </w:p>
    <w:p w:rsidR="00F516A3" w:rsidRPr="00F516A3" w:rsidRDefault="00F516A3" w:rsidP="00F516A3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381BB2" w:rsidRPr="00DF0575" w:rsidRDefault="00381BB2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PCD1</w:t>
      </w:r>
      <w:r w:rsidR="008F5D6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Pr="00DF05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/2024:01/R-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</w:t>
      </w:r>
    </w:p>
    <w:p w:rsidR="00B67AE9" w:rsidRDefault="00B67AE9" w:rsidP="00381BB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3"/>
          <w:szCs w:val="23"/>
          <w:lang w:bidi="hi-IN"/>
        </w:rPr>
      </w:pPr>
    </w:p>
    <w:p w:rsidR="00945CFC" w:rsidRPr="00E351B4" w:rsidRDefault="00B67AE9" w:rsidP="00B67AE9">
      <w:pPr>
        <w:jc w:val="both"/>
        <w:rPr>
          <w:rFonts w:ascii="Times New Roman" w:hAnsi="Times New Roman" w:cs="Times New Roman"/>
          <w:b/>
          <w:bCs/>
        </w:rPr>
      </w:pPr>
      <w:r w:rsidRPr="00E351B4">
        <w:rPr>
          <w:rFonts w:ascii="Times New Roman" w:hAnsi="Times New Roman" w:cs="Times New Roman"/>
          <w:b/>
          <w:bCs/>
        </w:rPr>
        <w:t>6.1</w:t>
      </w:r>
      <w:r w:rsidR="00945CFC" w:rsidRPr="00E351B4">
        <w:rPr>
          <w:rFonts w:ascii="Times New Roman" w:hAnsi="Times New Roman" w:cs="Times New Roman"/>
          <w:b/>
          <w:bCs/>
        </w:rPr>
        <w:t xml:space="preserve"> Review/reaffirmation of Indian standards</w:t>
      </w:r>
    </w:p>
    <w:p w:rsidR="00B67AE9" w:rsidRDefault="00945CFC" w:rsidP="00C82E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B67AE9">
        <w:rPr>
          <w:rFonts w:ascii="Times New Roman" w:hAnsi="Times New Roman" w:cs="Times New Roman"/>
        </w:rPr>
        <w:t xml:space="preserve"> </w:t>
      </w:r>
      <w:r w:rsidR="00B67AE9" w:rsidRPr="00B67AE9">
        <w:rPr>
          <w:rFonts w:ascii="Times New Roman" w:hAnsi="Times New Roman" w:cs="Times New Roman"/>
        </w:rPr>
        <w:t xml:space="preserve">The Committee decided to </w:t>
      </w:r>
      <w:r w:rsidR="00B67AE9">
        <w:rPr>
          <w:rFonts w:ascii="Times New Roman" w:hAnsi="Times New Roman" w:cs="Times New Roman"/>
        </w:rPr>
        <w:t xml:space="preserve">reaffirm </w:t>
      </w:r>
      <w:r w:rsidR="00B67AE9" w:rsidRPr="00B67AE9">
        <w:rPr>
          <w:rFonts w:ascii="Times New Roman" w:hAnsi="Times New Roman" w:cs="Times New Roman"/>
        </w:rPr>
        <w:t>the following the Standards:</w:t>
      </w:r>
    </w:p>
    <w:p w:rsidR="00B67AE9" w:rsidRPr="00B67AE9" w:rsidRDefault="00B67AE9" w:rsidP="00C82E54">
      <w:pPr>
        <w:jc w:val="both"/>
        <w:rPr>
          <w:rFonts w:ascii="Times New Roman" w:hAnsi="Times New Roman" w:cs="Times New Roman"/>
        </w:rPr>
      </w:pPr>
      <w:r w:rsidRPr="00B67AE9">
        <w:rPr>
          <w:rFonts w:ascii="Times New Roman" w:hAnsi="Times New Roman" w:cs="Times New Roman"/>
        </w:rPr>
        <w:t xml:space="preserve">IS </w:t>
      </w:r>
      <w:proofErr w:type="gramStart"/>
      <w:r w:rsidRPr="00B67AE9">
        <w:rPr>
          <w:rFonts w:ascii="Times New Roman" w:hAnsi="Times New Roman" w:cs="Times New Roman"/>
        </w:rPr>
        <w:t>10350 :</w:t>
      </w:r>
      <w:proofErr w:type="gramEnd"/>
      <w:r w:rsidRPr="00B67AE9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>,</w:t>
      </w:r>
      <w:r w:rsidR="00053A3F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1463 : 2020</w:t>
      </w:r>
      <w:r>
        <w:rPr>
          <w:rFonts w:ascii="Times New Roman" w:hAnsi="Times New Roman" w:cs="Times New Roman"/>
        </w:rPr>
        <w:t>,</w:t>
      </w:r>
      <w:r w:rsidR="00053A3F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15467 : 2004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4707 (Part 1) : 2020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6608 : 2004</w:t>
      </w:r>
      <w:r>
        <w:rPr>
          <w:rFonts w:ascii="Times New Roman" w:hAnsi="Times New Roman" w:cs="Times New Roman"/>
        </w:rPr>
        <w:t>,</w:t>
      </w:r>
      <w:r w:rsidR="00053A3F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8481 : 2020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8482 : 2020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9255 : 2020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9339 : 2020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17318 : 2020</w:t>
      </w:r>
    </w:p>
    <w:p w:rsidR="00B67AE9" w:rsidRDefault="00945CFC" w:rsidP="00C82E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67AE9">
        <w:rPr>
          <w:rFonts w:ascii="Times New Roman" w:hAnsi="Times New Roman" w:cs="Times New Roman"/>
        </w:rPr>
        <w:t xml:space="preserve">The </w:t>
      </w:r>
      <w:r w:rsidR="00B67AE9" w:rsidRPr="00B67AE9">
        <w:rPr>
          <w:rFonts w:ascii="Times New Roman" w:hAnsi="Times New Roman" w:cs="Times New Roman"/>
        </w:rPr>
        <w:t xml:space="preserve">Committee decided to </w:t>
      </w:r>
      <w:r w:rsidR="00B67AE9">
        <w:rPr>
          <w:rFonts w:ascii="Times New Roman" w:hAnsi="Times New Roman" w:cs="Times New Roman"/>
        </w:rPr>
        <w:t xml:space="preserve">reaffirm and revise </w:t>
      </w:r>
      <w:r w:rsidR="00B67AE9" w:rsidRPr="00B67AE9">
        <w:rPr>
          <w:rFonts w:ascii="Times New Roman" w:hAnsi="Times New Roman" w:cs="Times New Roman"/>
        </w:rPr>
        <w:t xml:space="preserve">IS </w:t>
      </w:r>
      <w:proofErr w:type="gramStart"/>
      <w:r w:rsidR="00B67AE9" w:rsidRPr="00B67AE9">
        <w:rPr>
          <w:rFonts w:ascii="Times New Roman" w:hAnsi="Times New Roman" w:cs="Times New Roman"/>
        </w:rPr>
        <w:t>10998 :</w:t>
      </w:r>
      <w:proofErr w:type="gramEnd"/>
      <w:r w:rsidR="00B67AE9" w:rsidRPr="00B67AE9">
        <w:rPr>
          <w:rFonts w:ascii="Times New Roman" w:hAnsi="Times New Roman" w:cs="Times New Roman"/>
        </w:rPr>
        <w:t xml:space="preserve"> 1984</w:t>
      </w:r>
      <w:r w:rsidR="00B67AE9">
        <w:rPr>
          <w:rFonts w:ascii="Times New Roman" w:hAnsi="Times New Roman" w:cs="Times New Roman"/>
        </w:rPr>
        <w:t>.</w:t>
      </w:r>
    </w:p>
    <w:p w:rsidR="00053A3F" w:rsidRDefault="00053A3F" w:rsidP="00C82E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B67AE9">
        <w:rPr>
          <w:rFonts w:ascii="Times New Roman" w:hAnsi="Times New Roman" w:cs="Times New Roman"/>
        </w:rPr>
        <w:t>The Committee decided to</w:t>
      </w:r>
      <w:r>
        <w:rPr>
          <w:rFonts w:ascii="Times New Roman" w:hAnsi="Times New Roman" w:cs="Times New Roman"/>
        </w:rPr>
        <w:t xml:space="preserve"> reaffirm and</w:t>
      </w:r>
      <w:r w:rsidRPr="00B67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archive </w:t>
      </w:r>
      <w:r w:rsidRPr="00B67AE9">
        <w:rPr>
          <w:rFonts w:ascii="Times New Roman" w:hAnsi="Times New Roman" w:cs="Times New Roman"/>
        </w:rPr>
        <w:t>the following Standards:</w:t>
      </w:r>
    </w:p>
    <w:p w:rsidR="00053A3F" w:rsidRPr="008F6614" w:rsidRDefault="00053A3F" w:rsidP="00C82E54">
      <w:pPr>
        <w:jc w:val="both"/>
        <w:rPr>
          <w:rFonts w:ascii="Times New Roman" w:hAnsi="Times New Roman" w:cs="Times New Roman"/>
          <w:color w:val="000000" w:themeColor="text1"/>
        </w:rPr>
      </w:pPr>
      <w:r w:rsidRPr="008F6614">
        <w:rPr>
          <w:rFonts w:ascii="Times New Roman" w:hAnsi="Times New Roman" w:cs="Times New Roman"/>
          <w:color w:val="000000" w:themeColor="text1"/>
        </w:rPr>
        <w:t xml:space="preserve">  IS </w:t>
      </w:r>
      <w:proofErr w:type="gramStart"/>
      <w:r w:rsidRPr="008F6614">
        <w:rPr>
          <w:rFonts w:ascii="Times New Roman" w:hAnsi="Times New Roman" w:cs="Times New Roman"/>
          <w:color w:val="000000" w:themeColor="text1"/>
        </w:rPr>
        <w:t>14318 :</w:t>
      </w:r>
      <w:proofErr w:type="gramEnd"/>
      <w:r w:rsidRPr="008F6614">
        <w:rPr>
          <w:rFonts w:ascii="Times New Roman" w:hAnsi="Times New Roman" w:cs="Times New Roman"/>
          <w:color w:val="000000" w:themeColor="text1"/>
        </w:rPr>
        <w:t xml:space="preserve"> 1996, IS 14649 : 1999, IS 3986 : 1988, IS 4236 : 1999, IS 7101 : 1994.</w:t>
      </w:r>
    </w:p>
    <w:p w:rsidR="00B67AE9" w:rsidRDefault="00B67AE9" w:rsidP="00B67AE9">
      <w:pPr>
        <w:jc w:val="both"/>
        <w:rPr>
          <w:rFonts w:ascii="Times New Roman" w:hAnsi="Times New Roman" w:cs="Times New Roman"/>
        </w:rPr>
      </w:pPr>
      <w:r w:rsidRPr="00B67AE9">
        <w:rPr>
          <w:rFonts w:ascii="Times New Roman" w:hAnsi="Times New Roman" w:cs="Times New Roman"/>
          <w:b/>
          <w:bCs/>
        </w:rPr>
        <w:t>6.2</w:t>
      </w:r>
      <w:r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  <w:b/>
          <w:bCs/>
        </w:rPr>
        <w:t>Revision of Pre-2000 Indian standards</w:t>
      </w:r>
    </w:p>
    <w:p w:rsidR="00B67AE9" w:rsidRDefault="00B67AE9" w:rsidP="00B67AE9">
      <w:pPr>
        <w:jc w:val="both"/>
        <w:rPr>
          <w:rFonts w:ascii="Times New Roman" w:hAnsi="Times New Roman" w:cs="Times New Roman"/>
        </w:rPr>
      </w:pPr>
      <w:r w:rsidRPr="00B67AE9">
        <w:rPr>
          <w:rFonts w:ascii="Times New Roman" w:hAnsi="Times New Roman" w:cs="Times New Roman"/>
        </w:rPr>
        <w:t>The Committee decided to</w:t>
      </w:r>
      <w:r w:rsidR="00E53443">
        <w:rPr>
          <w:rFonts w:ascii="Times New Roman" w:hAnsi="Times New Roman" w:cs="Times New Roman"/>
        </w:rPr>
        <w:t xml:space="preserve"> reaffirm and</w:t>
      </w:r>
      <w:r w:rsidRPr="00B67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E53443">
        <w:rPr>
          <w:rFonts w:ascii="Times New Roman" w:hAnsi="Times New Roman" w:cs="Times New Roman"/>
        </w:rPr>
        <w:t>rc</w:t>
      </w:r>
      <w:r>
        <w:rPr>
          <w:rFonts w:ascii="Times New Roman" w:hAnsi="Times New Roman" w:cs="Times New Roman"/>
        </w:rPr>
        <w:t xml:space="preserve">hive </w:t>
      </w:r>
      <w:r w:rsidRPr="00B67AE9">
        <w:rPr>
          <w:rFonts w:ascii="Times New Roman" w:hAnsi="Times New Roman" w:cs="Times New Roman"/>
        </w:rPr>
        <w:t>the following Standards:</w:t>
      </w:r>
    </w:p>
    <w:p w:rsidR="00B67AE9" w:rsidRPr="00B67AE9" w:rsidRDefault="00B67AE9" w:rsidP="00B67A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2520 : 1984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2521 : 1984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2528 : 1984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2529 : 1983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2850 : 1983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5340 : 1981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5356 : 1977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9245 : 1994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9636 : 1988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9830 : 1988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11015 : 1984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11023 : 1984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12590 : 1988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13965 : 1994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918 : 1985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1767 : 1980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4028 : 1992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7679 : 1978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9601 : 1980</w:t>
      </w:r>
      <w:r>
        <w:rPr>
          <w:rFonts w:ascii="Times New Roman" w:hAnsi="Times New Roman" w:cs="Times New Roman"/>
        </w:rPr>
        <w:t>,</w:t>
      </w:r>
      <w:r w:rsidR="009F47F0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9681 : 1980</w:t>
      </w:r>
      <w:r>
        <w:rPr>
          <w:rFonts w:ascii="Times New Roman" w:hAnsi="Times New Roman" w:cs="Times New Roman"/>
        </w:rPr>
        <w:t>,</w:t>
      </w:r>
      <w:r w:rsidR="00795451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10283 : 1982</w:t>
      </w:r>
      <w:r>
        <w:rPr>
          <w:rFonts w:ascii="Times New Roman" w:hAnsi="Times New Roman" w:cs="Times New Roman"/>
        </w:rPr>
        <w:t>,</w:t>
      </w:r>
      <w:r w:rsidR="00546601">
        <w:rPr>
          <w:rFonts w:ascii="Times New Roman" w:hAnsi="Times New Roman" w:cs="Times New Roman"/>
        </w:rPr>
        <w:t xml:space="preserve"> </w:t>
      </w:r>
      <w:r w:rsidRPr="00B67AE9">
        <w:rPr>
          <w:rFonts w:ascii="Times New Roman" w:hAnsi="Times New Roman" w:cs="Times New Roman"/>
        </w:rPr>
        <w:t>IS 11487 : 1985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2519 : 1983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263 : 1990</w:t>
      </w:r>
      <w:r>
        <w:rPr>
          <w:rFonts w:ascii="Times New Roman" w:hAnsi="Times New Roman" w:cs="Times New Roman"/>
        </w:rPr>
        <w:t xml:space="preserve">, </w:t>
      </w:r>
      <w:r w:rsidRPr="00B67AE9">
        <w:rPr>
          <w:rFonts w:ascii="Times New Roman" w:hAnsi="Times New Roman" w:cs="Times New Roman"/>
        </w:rPr>
        <w:t>IS 2851 : 1983</w:t>
      </w:r>
    </w:p>
    <w:p w:rsidR="005E5D89" w:rsidRDefault="005E5D89" w:rsidP="00381BB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3"/>
          <w:szCs w:val="23"/>
          <w:lang w:bidi="hi-IN"/>
        </w:rPr>
      </w:pPr>
    </w:p>
    <w:p w:rsidR="00381BB2" w:rsidRDefault="00381BB2" w:rsidP="00381BB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3"/>
          <w:szCs w:val="23"/>
          <w:cs/>
          <w:lang w:bidi="hi-IN"/>
        </w:rPr>
      </w:pPr>
    </w:p>
    <w:p w:rsidR="00381BB2" w:rsidRDefault="00381BB2" w:rsidP="00381BB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381BB2" w:rsidRDefault="00381BB2" w:rsidP="00381BB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b/>
          <w:bCs/>
          <w:kern w:val="3"/>
          <w:sz w:val="23"/>
          <w:szCs w:val="23"/>
          <w:lang w:bidi="hi-IN"/>
        </w:rPr>
      </w:pPr>
    </w:p>
    <w:p w:rsidR="00974C1B" w:rsidRDefault="00974C1B"/>
    <w:sectPr w:rsidR="0097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1BE"/>
    <w:multiLevelType w:val="hybridMultilevel"/>
    <w:tmpl w:val="C044A500"/>
    <w:lvl w:ilvl="0" w:tplc="95CAF2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2EE2"/>
    <w:multiLevelType w:val="hybridMultilevel"/>
    <w:tmpl w:val="842896F8"/>
    <w:lvl w:ilvl="0" w:tplc="94D8CD6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73DB"/>
    <w:multiLevelType w:val="hybridMultilevel"/>
    <w:tmpl w:val="E3585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120"/>
    <w:multiLevelType w:val="hybridMultilevel"/>
    <w:tmpl w:val="F05CB804"/>
    <w:lvl w:ilvl="0" w:tplc="127EBC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20A3"/>
    <w:multiLevelType w:val="hybridMultilevel"/>
    <w:tmpl w:val="1FD0AF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5C6C"/>
    <w:multiLevelType w:val="hybridMultilevel"/>
    <w:tmpl w:val="E8F22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350BB"/>
    <w:multiLevelType w:val="hybridMultilevel"/>
    <w:tmpl w:val="734CC8C0"/>
    <w:lvl w:ilvl="0" w:tplc="141CB6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E0C"/>
    <w:multiLevelType w:val="hybridMultilevel"/>
    <w:tmpl w:val="C6568A62"/>
    <w:lvl w:ilvl="0" w:tplc="3D8CB2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7D4C"/>
    <w:multiLevelType w:val="hybridMultilevel"/>
    <w:tmpl w:val="D5AE046C"/>
    <w:lvl w:ilvl="0" w:tplc="F37ED36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0A82"/>
    <w:multiLevelType w:val="hybridMultilevel"/>
    <w:tmpl w:val="C6787E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83249">
    <w:abstractNumId w:val="0"/>
  </w:num>
  <w:num w:numId="2" w16cid:durableId="1395279421">
    <w:abstractNumId w:val="4"/>
  </w:num>
  <w:num w:numId="3" w16cid:durableId="392239292">
    <w:abstractNumId w:val="6"/>
  </w:num>
  <w:num w:numId="4" w16cid:durableId="1405252277">
    <w:abstractNumId w:val="8"/>
  </w:num>
  <w:num w:numId="5" w16cid:durableId="464471445">
    <w:abstractNumId w:val="1"/>
  </w:num>
  <w:num w:numId="6" w16cid:durableId="537621521">
    <w:abstractNumId w:val="7"/>
  </w:num>
  <w:num w:numId="7" w16cid:durableId="1199313095">
    <w:abstractNumId w:val="2"/>
  </w:num>
  <w:num w:numId="8" w16cid:durableId="1698577184">
    <w:abstractNumId w:val="5"/>
  </w:num>
  <w:num w:numId="9" w16cid:durableId="1284192542">
    <w:abstractNumId w:val="9"/>
  </w:num>
  <w:num w:numId="10" w16cid:durableId="119881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B2"/>
    <w:rsid w:val="0001383F"/>
    <w:rsid w:val="00053A3F"/>
    <w:rsid w:val="000A6B0C"/>
    <w:rsid w:val="00124F41"/>
    <w:rsid w:val="00192E64"/>
    <w:rsid w:val="001B50EA"/>
    <w:rsid w:val="001C7C11"/>
    <w:rsid w:val="001F4189"/>
    <w:rsid w:val="002D2B7E"/>
    <w:rsid w:val="002F6D36"/>
    <w:rsid w:val="00343766"/>
    <w:rsid w:val="00381BB2"/>
    <w:rsid w:val="003B4CCF"/>
    <w:rsid w:val="003C7E70"/>
    <w:rsid w:val="003F2540"/>
    <w:rsid w:val="00514B92"/>
    <w:rsid w:val="00546601"/>
    <w:rsid w:val="005C1840"/>
    <w:rsid w:val="005E5D89"/>
    <w:rsid w:val="00651524"/>
    <w:rsid w:val="00660272"/>
    <w:rsid w:val="0067486A"/>
    <w:rsid w:val="006D449D"/>
    <w:rsid w:val="007177B9"/>
    <w:rsid w:val="00753F55"/>
    <w:rsid w:val="00770A48"/>
    <w:rsid w:val="00795451"/>
    <w:rsid w:val="007C618B"/>
    <w:rsid w:val="00830BCD"/>
    <w:rsid w:val="00832F89"/>
    <w:rsid w:val="0087754C"/>
    <w:rsid w:val="008933BE"/>
    <w:rsid w:val="008F5D6F"/>
    <w:rsid w:val="008F6614"/>
    <w:rsid w:val="00914810"/>
    <w:rsid w:val="00945CFC"/>
    <w:rsid w:val="00974C1B"/>
    <w:rsid w:val="00976979"/>
    <w:rsid w:val="009B47C3"/>
    <w:rsid w:val="009F47F0"/>
    <w:rsid w:val="00A44621"/>
    <w:rsid w:val="00B67AE9"/>
    <w:rsid w:val="00C63CB7"/>
    <w:rsid w:val="00C82E54"/>
    <w:rsid w:val="00C92034"/>
    <w:rsid w:val="00CB6ABD"/>
    <w:rsid w:val="00D81CED"/>
    <w:rsid w:val="00D937DA"/>
    <w:rsid w:val="00DB2332"/>
    <w:rsid w:val="00E0376D"/>
    <w:rsid w:val="00E051B4"/>
    <w:rsid w:val="00E351B4"/>
    <w:rsid w:val="00E44C72"/>
    <w:rsid w:val="00E53443"/>
    <w:rsid w:val="00EC6250"/>
    <w:rsid w:val="00F516A3"/>
    <w:rsid w:val="00F539E0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4F09A-4DEF-441A-B033-65EB919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B2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1BB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1B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481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Aridaman</dc:creator>
  <cp:keywords/>
  <dc:description/>
  <cp:lastModifiedBy>Rajat Gupta</cp:lastModifiedBy>
  <cp:revision>180</cp:revision>
  <dcterms:created xsi:type="dcterms:W3CDTF">2024-08-30T04:55:00Z</dcterms:created>
  <dcterms:modified xsi:type="dcterms:W3CDTF">2024-09-04T18:15:00Z</dcterms:modified>
</cp:coreProperties>
</file>